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cf883fc06444b0" /><Relationship Type="http://schemas.openxmlformats.org/package/2006/relationships/metadata/core-properties" Target="/package/services/metadata/core-properties/c9ffba4d573c4a5fa35967d3f4242e09.psmdcp" Id="Re57a3ff1435d4ac8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600" w:after="60" w:line="220" w:lineRule="exact"/>
        <w:ind w:firstLine="0"/>
        <w:jc w:val="left"/>
      </w:pPr>
      <w:r>
        <w:rPr>
          <w:u w:val="single"/>
          <w:sz w:val="16"/>
          <w:rFonts w:hint="eastAsia" w:ascii="Calibri" w:hAnsi="Calibri" w:eastAsia="Calibri"/>
          <w:color w:val="000000"/>
        </w:rPr>
        <w:t xml:space="preserve">Table 94 Tobacco and alcohal use by women and men-Contitued</w:t>
      </w:r>
    </w:p>
    <w:p>
      <w:pPr>
        <w:tabs/>
        <w:spacing w:line="160" w:lineRule="exact"/>
        <w:ind w:left="80" w:firstLine="0"/>
        <w:jc w:val="both"/>
      </w:pPr>
      <w:r>
        <w:rPr>
          <w:sz w:val="12"/>
          <w:rFonts w:hint="eastAsia" w:ascii="Calibri" w:hAnsi="Calibri" w:eastAsia="Calibri"/>
          <w:color w:val="000000"/>
        </w:rPr>
        <w:t xml:space="preserve">Percentage of woman and men age 15-49 by their use of tobacco and alcchol, percent distribution of thase who smole cigarettes </w:t>
      </w:r>
      <w:r>
        <w:rPr>
          <w:sz w:val="12"/>
          <w:rFonts w:hint="eastAsia" w:ascii="Calibri" w:hAnsi="Calibri" w:eastAsia="Calibri"/>
          <w:color w:val="000000"/>
        </w:rPr>
        <w:t xml:space="preserve">or bidis by number of cigarettes/bidis smaked in the 24 hours preceding the survey,and among these who drink akchol,the </w:t>
      </w:r>
      <w:r>
        <w:rPr>
          <w:sz w:val="12"/>
          <w:rFonts w:hint="eastAsia" w:ascii="Calibri" w:hAnsi="Calibri" w:eastAsia="Calibri"/>
          <w:color w:val="000000"/>
        </w:rPr>
        <w:t xml:space="preserve">percent distribution of the frequency of alcohal corsumption, by residence, Kamataka, 2019-20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280" w:type="dxa"/>
        <w:tblLook w:val="04A0" w:firstRow="true" w:lastRow="false" w:firstColumn="true" w:lastColumn="false" w:noHBand="false" w:noVBand="true"/>
      </w:tblPr>
      <w:tblGrid>
        <w:gridCol w:w="2240"/>
        <w:gridCol w:w="1220"/>
        <w:gridCol w:w="760"/>
        <w:gridCol w:w="760"/>
        <w:gridCol w:w="760"/>
        <w:gridCol w:w="760"/>
        <w:gridCol w:w="6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240" w:type="dxa"/>
            <w:tcBorders/>
            <w:vAlign w:val="center"/>
          </w:tcPr>
          <w:p/>
        </w:tc>
        <w:tc>
          <w:tcPr>
            <w:tcW w:w="122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224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drink akchol, freq</w:t>
            </w:r>
          </w:p>
        </w:tc>
        <w:tc>
          <w:tcPr>
            <w:tcW w:w="1220" w:type="dxa"/>
            <w:tcBorders/>
            <w:vAlign w:val="bottom"/>
          </w:tcPr>
          <w:p>
            <w:pPr>
              <w:tabs/>
              <w:spacing w:before="300"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uency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22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diy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(29.9)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(22.6)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53.7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ance a week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(47.4)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2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akchol</w:t>
            </w:r>
          </w:p>
        </w:tc>
        <w:tc>
          <w:tcPr>
            <w:tcW w:w="12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953</w:t>
            </w:r>
          </w:p>
        </w:tc>
      </w:tr>
    </w:tbl>
    <w:p>
      <w:pPr>
        <w:tabs/>
        <w:spacing w:line="160" w:lineRule="exact"/>
        <w:ind w:firstLine="0"/>
        <w:jc w:val="left"/>
      </w:pPr>
      <w:r>
        <w:rPr>
          <w:sz w:val="12"/>
          <w:rFonts w:hint="eastAsia" w:ascii="Calibri" w:hAnsi="Calibri" w:eastAsia="Calibri"/>
          <w:color w:val="000000"/>
        </w:rPr>
        <w:t xml:space="preserve">Note:Figures in parentheses are based on 25-49 unweighted cases.An atterink ind icates thut a figure ia bated an fewer than 25 unwrighbed canes</w:t>
      </w:r>
    </w:p>
    <w:p>
      <w:pPr>
        <w:tabs/>
        <w:spacing w:line="160" w:lineRule="exact"/>
        <w:ind w:firstLine="0"/>
        <w:jc w:val="left"/>
      </w:pPr>
      <w:r>
        <w:rPr>
          <w:sz w:val="12"/>
          <w:rFonts w:hint="eastAsia" w:ascii="Calibri" w:hAnsi="Calibri" w:eastAsia="Calibri"/>
          <w:color w:val="000000"/>
        </w:rPr>
        <w:t xml:space="preserve">and han been suppresed.</w:t>
      </w:r>
    </w:p>
    <w:p>
      <w:pPr>
        <w:tabs/>
        <w:spacing w:line="140" w:lineRule="exact"/>
        <w:ind w:firstLine="0"/>
        <w:jc w:val="lef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  <w:r>
        <w:rPr>
          <w:sz w:val="10"/>
          <w:rFonts w:hint="eastAsia" w:ascii="Calibri" w:hAnsi="Calibri" w:eastAsia="Calibri"/>
          <w:color w:val="000000"/>
        </w:rPr>
        <w:t xml:space="preserve">ncNo case</w:t>
      </w: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