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5bd679aebd4403" /><Relationship Type="http://schemas.openxmlformats.org/package/2006/relationships/metadata/core-properties" Target="/package/services/metadata/core-properties/a46b05dca07748c79343114f1a1b5d76.psmdcp" Id="Rfe68db857de24e59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220" w:line="140" w:lineRule="exact"/>
        <w:ind w:left="100" w:firstLine="0"/>
        <w:jc w:val="both"/>
      </w:pPr>
      <w:r>
        <w:rPr>
          <w:sz w:val="12"/>
          <w:rFonts w:hint="eastAsia" w:ascii="Calibri" w:hAnsi="Calibri" w:eastAsia="Calibri"/>
          <w:color w:val="000000"/>
        </w:rPr>
        <w:t xml:space="preserve">Percantage of women and men age 15-49 by their use of tobacen and akohol,percent ditr bution of those who smake </w:t>
      </w:r>
      <w:r>
        <w:rPr>
          <w:sz w:val="12"/>
          <w:rFonts w:hint="eastAsia" w:ascii="Calibri" w:hAnsi="Calibri" w:eastAsia="Calibri"/>
          <w:color w:val="000000"/>
        </w:rPr>
        <w:t xml:space="preserve">cigarettes or bidis by number of cigarettes/bidis smoked in the 24 hours preceding the survey,and among thaue who drink </w:t>
      </w:r>
      <w:r>
        <w:rPr>
          <w:sz w:val="12"/>
          <w:rFonts w:hint="eastAsia" w:ascii="Calibri" w:hAnsi="Calibri" w:eastAsia="Calibri"/>
          <w:color w:val="000000"/>
        </w:rPr>
        <w:t xml:space="preserve">alcchol,the percent distribution of the frequancy of alcohal camsumption,by reuidence,Manipur,2029-21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6700" w:type="dxa"/>
        <w:tblLook w:val="04A0" w:firstRow="true" w:lastRow="false" w:firstColumn="true" w:lastColumn="false" w:noHBand="false" w:noVBand="true"/>
      </w:tblPr>
      <w:tblGrid>
        <w:gridCol w:w="2220"/>
        <w:gridCol w:w="1260"/>
        <w:gridCol w:w="620"/>
        <w:gridCol w:w="620"/>
        <w:gridCol w:w="620"/>
        <w:gridCol w:w="620"/>
        <w:gridCol w:w="700"/>
      </w:tblGrid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220" w:type="dxa"/>
            <w:tcBorders/>
            <w:vAlign w:val="center"/>
          </w:tcPr>
          <w:p/>
        </w:tc>
        <w:tc>
          <w:tcPr>
            <w:tcW w:w="12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Wamen</w:t>
            </w:r>
          </w:p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2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Tobaceo use/alcchal us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68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2220" w:type="dxa"/>
            <w:tcBorders/>
            <w:vAlign w:val="bottom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these whe drink alcohol</w:t>
            </w:r>
          </w:p>
        </w:tc>
        <w:tc>
          <w:tcPr>
            <w:tcW w:w="12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2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frequency of drinking</w:t>
            </w:r>
          </w:p>
        </w:tc>
        <w:tc>
          <w:tcPr>
            <w:tcW w:w="126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2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Almast every day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9.5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2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ance a week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51.4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42.8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2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Lass than once a week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54.5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80.1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82.1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41.9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45.9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44.4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2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2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wha drink akahdl</w:t>
            </w:r>
          </w:p>
        </w:tc>
        <w:tc>
          <w:tcPr>
            <w:tcW w:w="12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320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512</w:t>
            </w:r>
          </w:p>
        </w:tc>
      </w:tr>
      <w:tr w:rsidR="00A23914" w:rsidTr="00A23914">
        <w:trPr>
          <w:trHeight w:val="200"/>
        </w:trPr>
        <w:tc>
          <w:tcPr>
            <w:gridSpan w:val="7"/>
            <w:tcW w:w="66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Note: Figures in parentheses are based an 25-49 unweighted ca ues.An aseriak indicates that a figure i baved on fewer than 25 unarighted</w:t>
            </w:r>
          </w:p>
        </w:tc>
      </w:tr>
    </w:tbl>
    <w:p>
      <w:pPr>
        <w:tabs/>
        <w:spacing w:before="40" w:line="140" w:lineRule="exact"/>
        <w:ind w:left="100" w:firstLine="0"/>
        <w:jc w:val="both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  <w:r>
        <w:rPr>
          <w:sz w:val="12"/>
          <w:rFonts w:hint="eastAsia" w:ascii="Calibri" w:hAnsi="Calibri" w:eastAsia="Calibri"/>
          <w:color w:val="000000"/>
        </w:rPr>
        <w:t xml:space="preserve">Note: Figures in parentheses are based an 25-49 unweighted ca ues.An aseriak indicates that a figure i baved on fewer than 25 unarighted </w:t>
      </w:r>
      <w:r>
        <w:rPr>
          <w:u w:val="single"/>
          <w:sz w:val="12"/>
          <w:rFonts w:hint="eastAsia" w:ascii="Calibri" w:hAnsi="Calibri" w:eastAsia="Calibri"/>
          <w:color w:val="000000"/>
        </w:rPr>
        <w:t xml:space="preserve">cais and has been suppreued.																				</w:t>
      </w: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