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785acf162d45d3" /><Relationship Type="http://schemas.openxmlformats.org/package/2006/relationships/metadata/core-properties" Target="/package/services/metadata/core-properties/cef1769c49824394aa49decf3093058d.psmdcp" Id="R6f0cc1fb6e124497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1880" w:after="100" w:line="200" w:lineRule="exact"/>
        <w:ind w:firstLine="120"/>
        <w:jc w:val="both"/>
      </w:pPr>
      <w:r>
        <w:rPr>
          <w:u w:val="single"/>
          <w:sz w:val="17"/>
          <w:rFonts w:hint="eastAsia" w:ascii="Calibri" w:hAnsi="Calibri" w:eastAsia="Calibri"/>
          <w:color w:val="000000"/>
        </w:rPr>
        <w:t xml:space="preserve">Table 94 Tobacco and akchol use by wumen and man-Contiued</w:t>
      </w:r>
    </w:p>
    <w:p>
      <w:pPr>
        <w:tabs/>
        <w:spacing w:after="100" w:line="160" w:lineRule="exact"/>
        <w:ind w:left="12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Percentage of women and man age 15-49 by their use of tobacco and alcohol, percent distribution of thase who smoke cigarettes or bidis </w:t>
      </w:r>
      <w:r>
        <w:rPr>
          <w:sz w:val="14"/>
          <w:rFonts w:hint="eastAsia" w:ascii="Calibri" w:hAnsi="Calibri" w:eastAsia="Calibri"/>
          <w:color w:val="000000"/>
        </w:rPr>
        <w:t xml:space="preserve">by number of cigarettes/bidis smoked in the 24 hours preceding the survey,and among those who drink alcohol, the percent distribution </w:t>
      </w:r>
      <w:r>
        <w:rPr>
          <w:sz w:val="14"/>
          <w:rFonts w:hint="eastAsia" w:ascii="Calibri" w:hAnsi="Calibri" w:eastAsia="Calibri"/>
          <w:color w:val="000000"/>
        </w:rPr>
        <w:t xml:space="preserve">of the frequency of alcchol comsumption,by residance,Telangana,2019-21</w:t>
      </w:r>
    </w:p>
    <w:tbl>
      <w:tblPr>
        <w:jc w:val="center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840" w:type="dxa"/>
        <w:tblLook w:val="04A0" w:firstRow="true" w:lastRow="false" w:firstColumn="true" w:lastColumn="false" w:noHBand="false" w:noVBand="true"/>
      </w:tblPr>
      <w:tblGrid>
        <w:gridCol w:w="2500"/>
        <w:gridCol w:w="1480"/>
        <w:gridCol w:w="740"/>
        <w:gridCol w:w="740"/>
        <w:gridCol w:w="740"/>
        <w:gridCol w:w="740"/>
        <w:gridCol w:w="620"/>
      </w:tblGrid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500" w:type="dxa"/>
            <w:tcBorders/>
            <w:vAlign w:val="center"/>
          </w:tcPr>
          <w:p/>
        </w:tc>
        <w:tc>
          <w:tcPr>
            <w:tcW w:w="148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Wamen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Man</w:t>
            </w:r>
          </w:p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500" w:type="dxa"/>
            <w:tcBorders/>
            <w:vAlign w:val="center"/>
          </w:tcPr>
          <w:p>
            <w:pPr>
              <w:tabs/>
              <w:spacing w:line="141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Tobacco/akchol use</w:t>
            </w:r>
          </w:p>
        </w:tc>
        <w:tc>
          <w:tcPr>
            <w:tcW w:w="14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2500" w:type="dxa"/>
            <w:tcBorders/>
            <w:vAlign w:val="bottom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drink akohol,frequenc</w:t>
            </w:r>
          </w:p>
        </w:tc>
        <w:tc>
          <w:tcPr>
            <w:tcW w:w="1480" w:type="dxa"/>
            <w:tcBorders/>
            <w:vAlign w:val="bottom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y of drinking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5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Almost every day</w:t>
            </w:r>
          </w:p>
        </w:tc>
        <w:tc>
          <w:tcPr>
            <w:tcW w:w="14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19.6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5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About once a week</w:t>
            </w:r>
          </w:p>
        </w:tc>
        <w:tc>
          <w:tcPr>
            <w:tcW w:w="14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32.6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30.3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58.6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51.1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53.6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5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14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44.3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45.2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29.3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27.8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5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</w:t>
            </w:r>
          </w:p>
        </w:tc>
        <w:tc>
          <w:tcPr>
            <w:tcW w:w="14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5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who drink akohol</w:t>
            </w:r>
          </w:p>
        </w:tc>
        <w:tc>
          <w:tcPr>
            <w:tcW w:w="14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1,146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1,357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589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1,172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1,760</w:t>
            </w:r>
          </w:p>
        </w:tc>
      </w:tr>
      <w:tr w:rsidR="00A23914" w:rsidTr="00A23914">
        <w:trPr>
          <w:trHeight w:val="220"/>
        </w:trPr>
        <w:tc>
          <w:tcPr>
            <w:gridSpan w:val="7"/>
            <w:tcW w:w="75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Nobe:An asterik indicaten that a fgure is based on frwer than 25 unweighted cases and has been suppressed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