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70e8d6dd684882" /><Relationship Type="http://schemas.openxmlformats.org/package/2006/relationships/metadata/core-properties" Target="/package/services/metadata/core-properties/882d667703114ac9b832a396a9a96625.psmdcp" Id="R3eed6ee148f44016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580" w:after="100" w:line="160" w:lineRule="exact"/>
        <w:ind w:firstLine="140"/>
        <w:jc w:val="both"/>
      </w:pPr>
      <w:r>
        <w:rPr>
          <w:u w:val="single"/>
          <w:sz w:val="14"/>
          <w:rFonts w:hint="eastAsia" w:ascii="Calibri" w:hAnsi="Calibri" w:eastAsia="Calibri"/>
          <w:color w:val="000000"/>
        </w:rPr>
        <w:t xml:space="preserve">Iable 94 Tobacco and alcchol use by women and men-Corninund</w:t>
      </w:r>
    </w:p>
    <w:p>
      <w:pPr>
        <w:tabs/>
        <w:spacing w:after="100" w:line="160" w:lineRule="exact"/>
        <w:ind w:left="14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alchol, percent distribution of those wha smole digarettes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survey, and among those who drink alcohal,the percent </w:t>
      </w:r>
      <w:r>
        <w:rPr>
          <w:sz w:val="14"/>
          <w:rFonts w:hint="eastAsia" w:ascii="Calibri" w:hAnsi="Calibri" w:eastAsia="Calibri"/>
          <w:color w:val="000000"/>
        </w:rPr>
        <w:t xml:space="preserve">distribution of the frequency of akcohal consumption,by residence,Uttar Pradesh,2019-21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460" w:type="dxa"/>
        <w:tblLook w:val="04A0" w:firstRow="true" w:lastRow="false" w:firstColumn="true" w:lastColumn="false" w:noHBand="false" w:noVBand="true"/>
      </w:tblPr>
      <w:tblGrid>
        <w:gridCol w:w="2320"/>
        <w:gridCol w:w="1260"/>
        <w:gridCol w:w="760"/>
        <w:gridCol w:w="760"/>
        <w:gridCol w:w="760"/>
        <w:gridCol w:w="760"/>
        <w:gridCol w:w="620"/>
      </w:tblGrid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320" w:type="dxa"/>
            <w:tcBorders/>
            <w:vAlign w:val="center"/>
          </w:tcPr>
          <w:p/>
        </w:tc>
        <w:tc>
          <w:tcPr>
            <w:tcW w:w="12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6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Tebacco/alcchal use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2320" w:type="dxa"/>
            <w:tcBorders/>
            <w:vAlign w:val="bottom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alcohal,</w:t>
            </w:r>
          </w:p>
        </w:tc>
        <w:tc>
          <w:tcPr>
            <w:tcW w:w="12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frequency of drinking</w:t>
            </w:r>
          </w:p>
        </w:tc>
        <w:tc>
          <w:tcPr>
            <w:tcW w:w="12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(12.7)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(43.5)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(43.8)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44.9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439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Dan'tknow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(100.0)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32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wha drink alcohal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1,405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1,840</w:t>
            </w:r>
          </w:p>
        </w:tc>
      </w:tr>
    </w:tbl>
    <w:p>
      <w:pPr>
        <w:tabs/>
        <w:spacing w:before="40" w:line="140" w:lineRule="exact"/>
        <w:ind w:left="140" w:firstLine="0"/>
        <w:jc w:val="both"/>
        <w:sectPr>
          <w:type w:val="continuous"/>
          <w:pgSz w:w="11900" w:h="16840" w:orient="portrait"/>
          <w:pgMar w:top="1440" w:right="1200" w:bottom="1440" w:left="1180" w:header="0" w:footer="0"/>
          <w:cols w:equalWidth="true" w:num="1"/>
        </w:sectPr>
      </w:pPr>
      <w:r>
        <w:rPr>
          <w:sz w:val="12"/>
          <w:rFonts w:hint="eastAsia" w:ascii="Calibri" w:hAnsi="Calibri" w:eastAsia="Calibri"/>
          <w:color w:val="000000"/>
        </w:rPr>
        <w:t xml:space="preserve">Note:Figures in parentheues are based on 25-49 urwe ighted caes.An antertk indicates that a fgure is baned on fewar than 25 unwrighoed caes </w:t>
      </w:r>
      <w:r>
        <w:rPr>
          <w:sz w:val="12"/>
          <w:rFonts w:hint="eastAsia" w:ascii="Calibri" w:hAnsi="Calibri" w:eastAsia="Calibri"/>
          <w:color w:val="000000"/>
        </w:rPr>
        <w:t xml:space="preserve">and has been suppressed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4978400</wp:posOffset>
                </wp:positionV>
                <wp:extent cx="60579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40" w:line="140" w:lineRule="exact"/>
                              <w:ind w:left="140" w:firstLine="0"/>
                              <w:jc w:val="both"/>
                            </w:pPr>
                            <w:r>
                              <w:pict>
                                <v:rect style="width:475pt;height:1.5pt" o:hr="true" o:hrstd="true" o:hrnoshade="true" o:hrpct="0" o:hralign="center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59.0pt;margin-top:723.0pt;height:3.0pt;width:477.0pt;z-index:638386919587170201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40" w:line="140" w:lineRule="exact"/>
                        <w:ind w:left="140" w:firstLine="0"/>
                        <w:jc w:val="both"/>
                      </w:pPr>
                      <w:r>
                        <w:pict>
                          <v:rect style="width:475pt;height:1.5pt" o:hr="true" o:hrstd="true" o:hrnoshade="true" o:hrpct="0" o:hralign="center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440" w:right="1200" w:bottom="1440" w:left="1180" w:header="0" w:footer="0"/>
      <w:pgSz w:w="11900" w:h="16840" w:orient="portrait"/>
    </w:sectPr>
  </w:body>
</w:document>
</file>

<file path=word/footer1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183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05e9192c12f5445d" /></Relationships>
</file>