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A2B4C"/>
          <w:sz w:val="40"/>
          <w:szCs w:val="40"/>
        </w:rPr>
        <w:t xml:space="preserve">Lumen Robotics — Employee Handbook (Excerpt)</w:t>
      </w:r>
    </w:p>
    <w:p>
      <w:pPr>
        <w:spacing w:after="300"/>
        <w:jc w:val="center"/>
      </w:pPr>
      <w:r>
        <w:rPr>
          <w:i/>
          <w:iCs/>
          <w:color w:val="666666"/>
          <w:sz w:val="22"/>
          <w:szCs w:val="22"/>
        </w:rPr>
        <w:t xml:space="preserve">Synthetic knowledge-base document for RAG platform testing</w:t>
      </w:r>
    </w:p>
    <w:p>
      <w:pPr>
        <w:spacing w:after="160"/>
        <w:jc w:val="left"/>
      </w:pPr>
      <w:r>
        <w:t xml:space="preserve">All names, policies, and figures below are fictional and created for testing purposes only. A RAG system with correct retrieval should only answer using facts stated in this document.</w:t>
      </w:r>
    </w:p>
    <w:p>
      <w:pPr>
        <w:pStyle w:val="Heading1"/>
        <w:spacing w:after="150" w:before="300"/>
      </w:pPr>
      <w:r>
        <w:t xml:space="preserve">1. Company Overview</w:t>
      </w:r>
    </w:p>
    <w:p>
      <w:pPr>
        <w:spacing w:after="160"/>
        <w:jc w:val="left"/>
      </w:pPr>
      <w:r>
        <w:t xml:space="preserve">Lumen Robotics Pvt. Ltd. was founded in 2018 by Ananya Rao and Dev Malhotra in Pune, Maharashtra. The company designs autonomous warehouse robots for logistics companies. Lumen currently has 268 employees spread across three offices: Pune (headquarters), Bengaluru, and Rotterdam. The current Managing Director is Ananya Rao, and Dev Malhotra serves as Head of Engineering.</w:t>
      </w:r>
    </w:p>
    <w:p>
      <w:pPr>
        <w:spacing w:after="160"/>
        <w:jc w:val="left"/>
      </w:pPr>
      <w:r>
        <w:t xml:space="preserve">Lumen's fiscal year runs from January 1 to December 31. The company's flagship product, the LR-4 warehouse robot, was launched in 2021 and is currently deployed at 94 warehouse sites across 6 countries.</w:t>
      </w:r>
    </w:p>
    <w:p>
      <w:pPr>
        <w:pStyle w:val="Heading1"/>
        <w:spacing w:after="150" w:before="300"/>
      </w:pPr>
      <w:r>
        <w:t xml:space="preserve">2. Leave Policy</w:t>
      </w:r>
    </w:p>
    <w:p>
      <w:pPr>
        <w:spacing w:after="160"/>
        <w:jc w:val="left"/>
      </w:pPr>
      <w:r>
        <w:t xml:space="preserve">Full-time employees accrue 1.5 days of paid leave per month, totaling 18 days per year. Leave is split into two categories: 12 days of Earned Leave and 6 days of Casual Leave. Earned Leave can be carried forward up to a maximum of 30 days into the next calendar year; Casual Leave cannot be carried forward and lapses on December 31 each year.</w:t>
      </w:r>
    </w:p>
    <w:p>
      <w:pPr>
        <w:spacing w:after="160"/>
        <w:jc w:val="left"/>
      </w:pPr>
      <w:r>
        <w:t xml:space="preserve">Employees are entitled to 6 days of paid sick leave per year, which does not require advance notice but must be supported by a medical certificate if taken for more than 2 consecutive days. New employees become eligible for paid leave only after completing 90 days of employment; before that, leave is unpaid.</w:t>
      </w:r>
    </w:p>
    <w:p>
      <w:pPr>
        <w:spacing w:after="160"/>
        <w:jc w:val="left"/>
      </w:pPr>
      <w:r>
        <w:t xml:space="preserve">Maternity leave is 26 weeks, in line with statutory requirements, and paternity leave is 15 days. Both must be applied for at least 30 days in advance except in cases of medical emergency.</w:t>
      </w:r>
    </w:p>
    <w:p>
      <w:pPr>
        <w:pStyle w:val="Heading1"/>
        <w:spacing w:after="150" w:before="300"/>
      </w:pPr>
      <w:r>
        <w:t xml:space="preserve">3. Work Hours and Remote Policy</w:t>
      </w:r>
    </w:p>
    <w:p>
      <w:pPr>
        <w:spacing w:after="160"/>
        <w:jc w:val="left"/>
      </w:pPr>
      <w:r>
        <w:t xml:space="preserve">Standard working hours are 9:30 a.m. to 6:30 p.m., Monday through Friday, with a mandatory 1-hour lunch break. Lumen operates a hybrid work policy: employees are required to be in the office 3 days per week (Tuesday, Wednesday, and Thursday) and may work remotely on Monday and Friday. Employees who wish to work fully remotely must obtain written approval from both their manager and the HR department, and such approval is reviewed every 6 months.</w:t>
      </w:r>
    </w:p>
    <w:p>
      <w:pPr>
        <w:spacing w:after="160"/>
        <w:jc w:val="left"/>
      </w:pPr>
      <w:r>
        <w:t xml:space="preserve">Core collaboration hours, during which all employees (including remote workers) must be reachable, are 11:00 a.m. to 4:00 p.m. IST.</w:t>
      </w:r>
    </w:p>
    <w:p>
      <w:pPr>
        <w:pStyle w:val="Heading1"/>
        <w:spacing w:after="150" w:before="300"/>
      </w:pPr>
      <w:r>
        <w:t xml:space="preserve">4. Compensation and Benefits</w:t>
      </w:r>
    </w:p>
    <w:p>
      <w:pPr>
        <w:spacing w:after="160"/>
        <w:jc w:val="left"/>
      </w:pPr>
      <w:r>
        <w:t xml:space="preserve">Salaries are reviewed annually every April, with increments ranging from 0% to 25% depending on performance rating. Lumen uses a five-tier performance rating scale: Exceptional, Exceeds Expectations, Meets Expectations, Needs Improvement, and Unsatisfactory. Employees rated Unsatisfactory two review cycles in a row are placed on a Performance Improvement Plan (PIP) lasting 60 days.</w:t>
      </w:r>
    </w:p>
    <w:p>
      <w:pPr>
        <w:spacing w:after="160"/>
        <w:jc w:val="left"/>
      </w:pPr>
      <w:r>
        <w:t xml:space="preserve">All full-time employees receive group health insurance covering themselves, a spouse, and up to two children, with a coverage limit of ₹5,00,000 per year. Employees may add parents to the health insurance plan at their own cost through a top-up option. Lumen also provides a one-time relocation allowance of ₹75,000 for employees relocating between offices.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c>
          <w:tcPr>
            <w:tcW w:type="dxa" w:w="2600"/>
            <w:shd w:fill="1A2B4C" w:val="clear"/>
            <w:tcMar>
              <w:top w:type="dxa" w:w="80"/>
              <w:left w:type="dxa" w:w="100"/>
              <w:bottom w:type="dxa" w:w="80"/>
              <w:right w:type="dxa" w:w="100"/>
            </w:tcMar>
          </w:tcPr>
          <w:p>
            <w:r>
              <w:rPr>
                <w:b/>
                <w:bCs/>
                <w:color w:val="FFFFFF"/>
                <w:sz w:val="18"/>
                <w:szCs w:val="18"/>
              </w:rPr>
              <w:t xml:space="preserve">Benefit</w:t>
            </w:r>
          </w:p>
        </w:tc>
        <w:tc>
          <w:tcPr>
            <w:tcW w:type="dxa" w:w="3200"/>
            <w:shd w:fill="1A2B4C" w:val="clear"/>
            <w:tcMar>
              <w:top w:type="dxa" w:w="80"/>
              <w:left w:type="dxa" w:w="100"/>
              <w:bottom w:type="dxa" w:w="80"/>
              <w:right w:type="dxa" w:w="100"/>
            </w:tcMar>
          </w:tcPr>
          <w:p>
            <w:r>
              <w:rPr>
                <w:b/>
                <w:bCs/>
                <w:color w:val="FFFFFF"/>
                <w:sz w:val="18"/>
                <w:szCs w:val="18"/>
              </w:rPr>
              <w:t xml:space="preserve">Eligibility</w:t>
            </w:r>
          </w:p>
        </w:tc>
        <w:tc>
          <w:tcPr>
            <w:tcW w:type="dxa" w:w="3600"/>
            <w:shd w:fill="1A2B4C" w:val="clear"/>
            <w:tcMar>
              <w:top w:type="dxa" w:w="80"/>
              <w:left w:type="dxa" w:w="100"/>
              <w:bottom w:type="dxa" w:w="80"/>
              <w:right w:type="dxa" w:w="100"/>
            </w:tcMar>
          </w:tcPr>
          <w:p>
            <w:r>
              <w:rPr>
                <w:b/>
                <w:bCs/>
                <w:color w:val="FFFFFF"/>
                <w:sz w:val="18"/>
                <w:szCs w:val="18"/>
              </w:rPr>
              <w:t xml:space="preserve">Value / Limit</w:t>
            </w:r>
          </w:p>
        </w:tc>
      </w:tr>
      <w:tr>
        <w:tc>
          <w:tcPr>
            <w:tcW w:type="dxa" w:w="2600"/>
            <w:tcMar>
              <w:top w:type="dxa" w:w="80"/>
              <w:left w:type="dxa" w:w="100"/>
              <w:bottom w:type="dxa" w:w="80"/>
              <w:right w:type="dxa" w:w="100"/>
            </w:tcMar>
          </w:tcPr>
          <w:p>
            <w:r>
              <w:rPr>
                <w:b w:val="false"/>
                <w:bCs w:val="false"/>
                <w:sz w:val="18"/>
                <w:szCs w:val="18"/>
              </w:rPr>
              <w:t xml:space="preserve">Health Insurance</w:t>
            </w:r>
          </w:p>
        </w:tc>
        <w:tc>
          <w:tcPr>
            <w:tcW w:type="dxa" w:w="3200"/>
            <w:tcMar>
              <w:top w:type="dxa" w:w="80"/>
              <w:left w:type="dxa" w:w="100"/>
              <w:bottom w:type="dxa" w:w="80"/>
              <w:right w:type="dxa" w:w="100"/>
            </w:tcMar>
          </w:tcPr>
          <w:p>
            <w:r>
              <w:rPr>
                <w:b w:val="false"/>
                <w:bCs w:val="false"/>
                <w:sz w:val="18"/>
                <w:szCs w:val="18"/>
              </w:rPr>
              <w:t xml:space="preserve">All full-time employees</w:t>
            </w:r>
          </w:p>
        </w:tc>
        <w:tc>
          <w:tcPr>
            <w:tcW w:type="dxa" w:w="3600"/>
            <w:tcMar>
              <w:top w:type="dxa" w:w="80"/>
              <w:left w:type="dxa" w:w="100"/>
              <w:bottom w:type="dxa" w:w="80"/>
              <w:right w:type="dxa" w:w="100"/>
            </w:tcMar>
          </w:tcPr>
          <w:p>
            <w:r>
              <w:rPr>
                <w:b w:val="false"/>
                <w:bCs w:val="false"/>
                <w:sz w:val="18"/>
                <w:szCs w:val="18"/>
              </w:rPr>
              <w:t xml:space="preserve">₹5,00,000/year, self + spouse + 2 children</w:t>
            </w:r>
          </w:p>
        </w:tc>
      </w:tr>
      <w:tr>
        <w:tc>
          <w:tcPr>
            <w:tcW w:type="dxa" w:w="2600"/>
            <w:shd w:fill="F4F6FA" w:val="clear"/>
            <w:tcMar>
              <w:top w:type="dxa" w:w="80"/>
              <w:left w:type="dxa" w:w="100"/>
              <w:bottom w:type="dxa" w:w="80"/>
              <w:right w:type="dxa" w:w="100"/>
            </w:tcMar>
          </w:tcPr>
          <w:p>
            <w:r>
              <w:rPr>
                <w:b w:val="false"/>
                <w:bCs w:val="false"/>
                <w:sz w:val="18"/>
                <w:szCs w:val="18"/>
              </w:rPr>
              <w:t xml:space="preserve">Relocation Allowance</w:t>
            </w:r>
          </w:p>
        </w:tc>
        <w:tc>
          <w:tcPr>
            <w:tcW w:type="dxa" w:w="3200"/>
            <w:shd w:fill="F4F6FA" w:val="clear"/>
            <w:tcMar>
              <w:top w:type="dxa" w:w="80"/>
              <w:left w:type="dxa" w:w="100"/>
              <w:bottom w:type="dxa" w:w="80"/>
              <w:right w:type="dxa" w:w="100"/>
            </w:tcMar>
          </w:tcPr>
          <w:p>
            <w:r>
              <w:rPr>
                <w:b w:val="false"/>
                <w:bCs w:val="false"/>
                <w:sz w:val="18"/>
                <w:szCs w:val="18"/>
              </w:rPr>
              <w:t xml:space="preserve">Inter-office transfers only</w:t>
            </w:r>
          </w:p>
        </w:tc>
        <w:tc>
          <w:tcPr>
            <w:tcW w:type="dxa" w:w="3600"/>
            <w:shd w:fill="F4F6FA" w:val="clear"/>
            <w:tcMar>
              <w:top w:type="dxa" w:w="80"/>
              <w:left w:type="dxa" w:w="100"/>
              <w:bottom w:type="dxa" w:w="80"/>
              <w:right w:type="dxa" w:w="100"/>
            </w:tcMar>
          </w:tcPr>
          <w:p>
            <w:r>
              <w:rPr>
                <w:b w:val="false"/>
                <w:bCs w:val="false"/>
                <w:sz w:val="18"/>
                <w:szCs w:val="18"/>
              </w:rPr>
              <w:t xml:space="preserve">₹75,000 one-time</w:t>
            </w:r>
          </w:p>
        </w:tc>
      </w:tr>
      <w:tr>
        <w:tc>
          <w:tcPr>
            <w:tcW w:type="dxa" w:w="2600"/>
            <w:tcMar>
              <w:top w:type="dxa" w:w="80"/>
              <w:left w:type="dxa" w:w="100"/>
              <w:bottom w:type="dxa" w:w="80"/>
              <w:right w:type="dxa" w:w="100"/>
            </w:tcMar>
          </w:tcPr>
          <w:p>
            <w:r>
              <w:rPr>
                <w:b w:val="false"/>
                <w:bCs w:val="false"/>
                <w:sz w:val="18"/>
                <w:szCs w:val="18"/>
              </w:rPr>
              <w:t xml:space="preserve">Annual Bonus</w:t>
            </w:r>
          </w:p>
        </w:tc>
        <w:tc>
          <w:tcPr>
            <w:tcW w:type="dxa" w:w="3200"/>
            <w:tcMar>
              <w:top w:type="dxa" w:w="80"/>
              <w:left w:type="dxa" w:w="100"/>
              <w:bottom w:type="dxa" w:w="80"/>
              <w:right w:type="dxa" w:w="100"/>
            </w:tcMar>
          </w:tcPr>
          <w:p>
            <w:r>
              <w:rPr>
                <w:b w:val="false"/>
                <w:bCs w:val="false"/>
                <w:sz w:val="18"/>
                <w:szCs w:val="18"/>
              </w:rPr>
              <w:t xml:space="preserve">Employees with 6+ months tenure</w:t>
            </w:r>
          </w:p>
        </w:tc>
        <w:tc>
          <w:tcPr>
            <w:tcW w:type="dxa" w:w="3600"/>
            <w:tcMar>
              <w:top w:type="dxa" w:w="80"/>
              <w:left w:type="dxa" w:w="100"/>
              <w:bottom w:type="dxa" w:w="80"/>
              <w:right w:type="dxa" w:w="100"/>
            </w:tcMar>
          </w:tcPr>
          <w:p>
            <w:r>
              <w:rPr>
                <w:b w:val="false"/>
                <w:bCs w:val="false"/>
                <w:sz w:val="18"/>
                <w:szCs w:val="18"/>
              </w:rPr>
              <w:t xml:space="preserve">Up to 15% of annual base salary</w:t>
            </w:r>
          </w:p>
        </w:tc>
      </w:tr>
      <w:tr>
        <w:tc>
          <w:tcPr>
            <w:tcW w:type="dxa" w:w="2600"/>
            <w:shd w:fill="F4F6FA" w:val="clear"/>
            <w:tcMar>
              <w:top w:type="dxa" w:w="80"/>
              <w:left w:type="dxa" w:w="100"/>
              <w:bottom w:type="dxa" w:w="80"/>
              <w:right w:type="dxa" w:w="100"/>
            </w:tcMar>
          </w:tcPr>
          <w:p>
            <w:r>
              <w:rPr>
                <w:b w:val="false"/>
                <w:bCs w:val="false"/>
                <w:sz w:val="18"/>
                <w:szCs w:val="18"/>
              </w:rPr>
              <w:t xml:space="preserve">Learning Stipend</w:t>
            </w:r>
          </w:p>
        </w:tc>
        <w:tc>
          <w:tcPr>
            <w:tcW w:type="dxa" w:w="3200"/>
            <w:shd w:fill="F4F6FA" w:val="clear"/>
            <w:tcMar>
              <w:top w:type="dxa" w:w="80"/>
              <w:left w:type="dxa" w:w="100"/>
              <w:bottom w:type="dxa" w:w="80"/>
              <w:right w:type="dxa" w:w="100"/>
            </w:tcMar>
          </w:tcPr>
          <w:p>
            <w:r>
              <w:rPr>
                <w:b w:val="false"/>
                <w:bCs w:val="false"/>
                <w:sz w:val="18"/>
                <w:szCs w:val="18"/>
              </w:rPr>
              <w:t xml:space="preserve">All full-time employees</w:t>
            </w:r>
          </w:p>
        </w:tc>
        <w:tc>
          <w:tcPr>
            <w:tcW w:type="dxa" w:w="3600"/>
            <w:shd w:fill="F4F6FA" w:val="clear"/>
            <w:tcMar>
              <w:top w:type="dxa" w:w="80"/>
              <w:left w:type="dxa" w:w="100"/>
              <w:bottom w:type="dxa" w:w="80"/>
              <w:right w:type="dxa" w:w="100"/>
            </w:tcMar>
          </w:tcPr>
          <w:p>
            <w:r>
              <w:rPr>
                <w:b w:val="false"/>
                <w:bCs w:val="false"/>
                <w:sz w:val="18"/>
                <w:szCs w:val="18"/>
              </w:rPr>
              <w:t xml:space="preserve">₹20,000/year for courses or certifications</w:t>
            </w:r>
          </w:p>
        </w:tc>
      </w:tr>
      <w:tr>
        <w:tc>
          <w:tcPr>
            <w:tcW w:type="dxa" w:w="2600"/>
            <w:tcMar>
              <w:top w:type="dxa" w:w="80"/>
              <w:left w:type="dxa" w:w="100"/>
              <w:bottom w:type="dxa" w:w="80"/>
              <w:right w:type="dxa" w:w="100"/>
            </w:tcMar>
          </w:tcPr>
          <w:p>
            <w:r>
              <w:rPr>
                <w:b w:val="false"/>
                <w:bCs w:val="false"/>
                <w:sz w:val="18"/>
                <w:szCs w:val="18"/>
              </w:rPr>
              <w:t xml:space="preserve">Gym Reimbursement</w:t>
            </w:r>
          </w:p>
        </w:tc>
        <w:tc>
          <w:tcPr>
            <w:tcW w:type="dxa" w:w="3200"/>
            <w:tcMar>
              <w:top w:type="dxa" w:w="80"/>
              <w:left w:type="dxa" w:w="100"/>
              <w:bottom w:type="dxa" w:w="80"/>
              <w:right w:type="dxa" w:w="100"/>
            </w:tcMar>
          </w:tcPr>
          <w:p>
            <w:r>
              <w:rPr>
                <w:b w:val="false"/>
                <w:bCs w:val="false"/>
                <w:sz w:val="18"/>
                <w:szCs w:val="18"/>
              </w:rPr>
              <w:t xml:space="preserve">All full-time employees</w:t>
            </w:r>
          </w:p>
        </w:tc>
        <w:tc>
          <w:tcPr>
            <w:tcW w:type="dxa" w:w="3600"/>
            <w:tcMar>
              <w:top w:type="dxa" w:w="80"/>
              <w:left w:type="dxa" w:w="100"/>
              <w:bottom w:type="dxa" w:w="80"/>
              <w:right w:type="dxa" w:w="100"/>
            </w:tcMar>
          </w:tcPr>
          <w:p>
            <w:r>
              <w:rPr>
                <w:b w:val="false"/>
                <w:bCs w:val="false"/>
                <w:sz w:val="18"/>
                <w:szCs w:val="18"/>
              </w:rPr>
              <w:t xml:space="preserve">₹1,500/month</w:t>
            </w:r>
          </w:p>
        </w:tc>
      </w:tr>
    </w:tbl>
    <w:p>
      <w:pPr>
        <w:spacing w:after="160"/>
      </w:pPr>
    </w:p>
    <w:p>
      <w:pPr>
        <w:pStyle w:val="Heading1"/>
        <w:spacing w:after="150" w:before="300"/>
      </w:pPr>
      <w:r>
        <w:t xml:space="preserve">5. Expense and Travel Policy</w:t>
      </w:r>
    </w:p>
    <w:p>
      <w:pPr>
        <w:spacing w:after="160"/>
        <w:jc w:val="left"/>
      </w:pPr>
      <w:r>
        <w:t xml:space="preserve">Domestic travel must be booked at least 5 business days in advance through the internal travel portal; economy class is standard for flights under 4 hours, and business class is permitted for flights over 4 hours only for employees at Director level or above. Expense reports must be submitted within 15 days of the expense being incurred, and reimbursements are processed within 10 business days of approval. Any single expense above ₹10,000 requires prior written approval from the employee's manager.</w:t>
      </w:r>
    </w:p>
    <w:p>
      <w:pPr>
        <w:spacing w:after="160"/>
        <w:jc w:val="left"/>
      </w:pPr>
      <w:r>
        <w:t xml:space="preserve">International travel requires approval from both the department head and the finance team at least 10 business days in advance. A per-diem of $60 is provided for meals during international travel, and lodging is booked directly by the travel desk rather than reimbursed.</w:t>
      </w:r>
    </w:p>
    <w:p>
      <w:pPr>
        <w:pStyle w:val="Heading1"/>
        <w:spacing w:after="150" w:before="300"/>
      </w:pPr>
      <w:r>
        <w:t xml:space="preserve">6. Exit and Notice Policy</w:t>
      </w:r>
    </w:p>
    <w:p>
      <w:pPr>
        <w:spacing w:after="160"/>
        <w:jc w:val="left"/>
      </w:pPr>
      <w:r>
        <w:t xml:space="preserve">The standard notice period is 60 days for all confirmed employees and 15 days during the probationary period, which lasts 6 months from the date of joining. Lumen may, at its discretion, offer a buyout of the notice period, requiring the employee to pay a sum equal to their basic salary for the unserved notice days. Employees are required to complete a knowledge-transfer handover document and return all company assets, including laptops and access badges, on or before their last working day.</w:t>
      </w:r>
    </w:p>
    <w:p>
      <w:pPr>
        <w:spacing w:after="160"/>
        <w:jc w:val="left"/>
      </w:pPr>
      <w:r>
        <w:t xml:space="preserve">Final settlement, including any pending reimbursements and leave encashment, is processed within 45 days of the last working day. Leave encashment is calculated only on Earned Leave balance; Casual Leave is not encashable.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2026-08-24T13:01:41.744Z</dcterms:created>
  <dcterms:modified xsi:type="dcterms:W3CDTF">2026-08-24T13:01:41.758Z</dcterms:modified>
</cp:coreProperties>
</file>

<file path=docProps/custom.xml><?xml version="1.0" encoding="utf-8"?>
<Properties xmlns="http://schemas.openxmlformats.org/officeDocument/2006/custom-properties" xmlns:vt="http://schemas.openxmlformats.org/officeDocument/2006/docPropsVTypes"/>
</file>