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5F"/>
          <w:sz w:val="44"/>
        </w:rPr>
        <w:t>Comprehensive Data Analysis Reporting and Presentation: End-to-End Data Cleaning, Visualization, and Predictive Modeling in R</w:t>
      </w:r>
    </w:p>
    <w:p>
      <w:pPr>
        <w:spacing w:before="0" w:after="240"/>
      </w:pPr>
      <w:r>
        <w:rPr>
          <w:rFonts w:ascii="Calibri" w:hAnsi="Calibri"/>
          <w:b/>
          <w:color w:val="0D9488"/>
          <w:sz w:val="23"/>
        </w:rPr>
        <w:t>Week 4 Final Capstone Report — Consolidating Data Preprocessing (Week 1), Multi-Dimensional ggplot2 Visual Analytics (Week 2), Hypothesis Testing &amp; Cross-Validated Regression/Classification (Week 3), and Executive Business Impacts (Week 4)</w:t>
      </w: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1. Introduction and Project Overview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Modern data science workflows require far more than isolated statistical calculations; they demand a cohesive, reproducible analytical pipeline that transforms raw empirical measurements into validated predictive models and clear business decisions for both technical and non-technical stakeholders. This Week 4 Final Capstone Report consolidates and synthesizes four weeks of intensive analytical work executed in the </w:t>
      </w:r>
      <w:hyperlink r:id="rId11">
        <w:r>
          <w:rPr>
            <w:rFonts w:ascii="Calibri" w:hAnsi="Calibri"/>
            <w:sz w:val="22"/>
            <w:color w:val="0284C7"/>
            <w:u w:val="single"/>
          </w:rPr>
          <w:t>R statistical computing environment</w:t>
        </w:r>
      </w:hyperlink>
      <w:r>
        <w:rPr>
          <w:rFonts w:ascii="Calibri" w:hAnsi="Calibri"/>
          <w:color w:val="1E293B"/>
          <w:sz w:val="22"/>
        </w:rPr>
        <w:t xml:space="preserve"> on the canonical </w:t>
      </w:r>
      <w:hyperlink r:id="rId12">
        <w:r>
          <w:rPr>
            <w:rFonts w:ascii="Calibri" w:hAnsi="Calibri"/>
            <w:sz w:val="22"/>
            <w:color w:val="0284C7"/>
            <w:u w:val="single"/>
          </w:rPr>
          <w:t>Motor Trend Car Road Tests (mtcars)</w:t>
        </w:r>
      </w:hyperlink>
      <w:r>
        <w:rPr>
          <w:rFonts w:ascii="Calibri" w:hAnsi="Calibri"/>
          <w:color w:val="1E293B"/>
          <w:sz w:val="22"/>
        </w:rPr>
        <w:t xml:space="preserve"> engineering dataset compiled by Henderson and Velleman (</w:t>
      </w:r>
      <w:hyperlink r:id="rId13">
        <w:r>
          <w:rPr>
            <w:rFonts w:ascii="Calibri" w:hAnsi="Calibri"/>
            <w:sz w:val="22"/>
            <w:color w:val="0284C7"/>
            <w:u w:val="single"/>
          </w:rPr>
          <w:t>Biometrics, 37(2), 391–411, 1981</w:t>
        </w:r>
      </w:hyperlink>
      <w:r>
        <w:rPr>
          <w:rFonts w:ascii="Calibri" w:hAnsi="Calibri"/>
          <w:color w:val="1E293B"/>
          <w:sz w:val="22"/>
        </w:rPr>
        <w:t>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Integrated Four-Week Analytical Architecture: </w:t>
      </w:r>
      <w:r>
        <w:rPr>
          <w:rFonts w:ascii="Calibri" w:hAnsi="Calibri"/>
          <w:color w:val="1E293B"/>
          <w:sz w:val="22"/>
        </w:rPr>
        <w:t>To provide complete traceability from raw data ingestion to executive decision support, this report unifies the four sequential phases of the internship into a single narrative: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Phase I — Data Cleaning and Preprocessing (Week 1 Integration): </w:t>
      </w:r>
      <w:r>
        <w:rPr>
          <w:rFonts w:ascii="Calibri" w:hAnsi="Calibri"/>
          <w:color w:val="1E293B"/>
          <w:sz w:val="22"/>
        </w:rPr>
        <w:t xml:space="preserve">Establishes data integrity across the N = 32 production automobiles and 11 engineering variables using </w:t>
      </w:r>
      <w:hyperlink r:id="rId14">
        <w:r>
          <w:rPr>
            <w:rFonts w:ascii="Calibri" w:hAnsi="Calibri"/>
            <w:sz w:val="22"/>
            <w:color w:val="0284C7"/>
            <w:u w:val="single"/>
          </w:rPr>
          <w:t>dplyr</w:t>
        </w:r>
      </w:hyperlink>
      <w:r>
        <w:rPr>
          <w:rFonts w:ascii="Calibri" w:hAnsi="Calibri"/>
          <w:color w:val="1E293B"/>
          <w:sz w:val="22"/>
        </w:rPr>
        <w:t xml:space="preserve"> and </w:t>
      </w:r>
      <w:hyperlink r:id="rId15">
        <w:r>
          <w:rPr>
            <w:rFonts w:ascii="Calibri" w:hAnsi="Calibri"/>
            <w:sz w:val="22"/>
            <w:color w:val="0284C7"/>
            <w:u w:val="single"/>
          </w:rPr>
          <w:t>tidyr</w:t>
        </w:r>
      </w:hyperlink>
      <w:r>
        <w:rPr>
          <w:rFonts w:ascii="Calibri" w:hAnsi="Calibri"/>
          <w:color w:val="1E293B"/>
          <w:sz w:val="22"/>
        </w:rPr>
        <w:t xml:space="preserve">. Implements cylinder-stratified group-median imputation for missing sensor values (&lt; 0.35% parameter shift), Tukey 1.5xIQR outlier detection (identifying specific tail vehicles such as the 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 xml:space="preserve"> at 335 hp, </w:t>
      </w:r>
      <w:r>
        <w:rPr>
          <w:rFonts w:ascii="Courier New" w:hAnsi="Courier New"/>
          <w:b/>
          <w:color w:val="1E3A5F"/>
          <w:sz w:val="21"/>
        </w:rPr>
        <w:t>Lincoln Continental</w:t>
      </w:r>
      <w:r>
        <w:rPr>
          <w:rFonts w:ascii="Calibri" w:hAnsi="Calibri"/>
          <w:color w:val="1E293B"/>
          <w:sz w:val="22"/>
        </w:rPr>
        <w:t xml:space="preserve"> at 5,424 lbs, and </w:t>
      </w:r>
      <w:r>
        <w:rPr>
          <w:rFonts w:ascii="Courier New" w:hAnsi="Courier New"/>
          <w:b/>
          <w:color w:val="1E3A5F"/>
          <w:sz w:val="21"/>
        </w:rPr>
        <w:t>Toyota Corolla</w:t>
      </w:r>
      <w:r>
        <w:rPr>
          <w:rFonts w:ascii="Calibri" w:hAnsi="Calibri"/>
          <w:color w:val="1E293B"/>
          <w:sz w:val="22"/>
        </w:rPr>
        <w:t xml:space="preserve"> at 33.90 mpg), Z-score standardization, Min-Max [0, 1] normalization, and categorical factor encoding.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Phase II — Data Visualization and Insight Communication (Week 2 Integration): </w:t>
      </w:r>
      <w:r>
        <w:rPr>
          <w:rFonts w:ascii="Calibri" w:hAnsi="Calibri"/>
          <w:color w:val="1E293B"/>
          <w:sz w:val="22"/>
        </w:rPr>
        <w:t xml:space="preserve">Develops a multi-dimensional visual analytics suite using </w:t>
      </w:r>
      <w:hyperlink r:id="rId16">
        <w:r>
          <w:rPr>
            <w:rFonts w:ascii="Calibri" w:hAnsi="Calibri"/>
            <w:sz w:val="22"/>
            <w:color w:val="0284C7"/>
            <w:u w:val="single"/>
          </w:rPr>
          <w:t>ggplot2</w:t>
        </w:r>
      </w:hyperlink>
      <w:r>
        <w:rPr>
          <w:rFonts w:ascii="Calibri" w:hAnsi="Calibri"/>
          <w:color w:val="1E293B"/>
          <w:sz w:val="22"/>
        </w:rPr>
        <w:t xml:space="preserve"> and </w:t>
      </w:r>
      <w:hyperlink r:id="rId17">
        <w:r>
          <w:rPr>
            <w:rFonts w:ascii="Calibri" w:hAnsi="Calibri"/>
            <w:sz w:val="22"/>
            <w:color w:val="0284C7"/>
            <w:u w:val="single"/>
          </w:rPr>
          <w:t>corrplot</w:t>
        </w:r>
      </w:hyperlink>
      <w:r>
        <w:rPr>
          <w:rFonts w:ascii="Calibri" w:hAnsi="Calibri"/>
          <w:color w:val="1E293B"/>
          <w:sz w:val="22"/>
        </w:rPr>
        <w:t>—spanning multivariate scatter plots, grouped bar charts with 95% confidence intervals, faceted power-to-weight density histograms, and dual-axis carburetor trend line charts—designed to make complex mechanical trade-offs immediately intuitive to non-technical audiences.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Phase III — Statistical Hypothesis Testing and Predictive Modeling (Week 3 Integration): </w:t>
      </w:r>
      <w:r>
        <w:rPr>
          <w:rFonts w:ascii="Calibri" w:hAnsi="Calibri"/>
          <w:color w:val="1E293B"/>
          <w:sz w:val="22"/>
        </w:rPr>
        <w:t>Executes formal parametric and non-parametric hypothesis tests (</w:t>
      </w:r>
      <w:hyperlink r:id="rId18">
        <w:r>
          <w:rPr>
            <w:rFonts w:ascii="Calibri" w:hAnsi="Calibri"/>
            <w:sz w:val="22"/>
            <w:color w:val="0284C7"/>
            <w:u w:val="single"/>
          </w:rPr>
          <w:t>stats::shapiro.test</w:t>
        </w:r>
      </w:hyperlink>
      <w:r>
        <w:rPr>
          <w:rFonts w:ascii="Calibri" w:hAnsi="Calibri"/>
          <w:color w:val="1E293B"/>
          <w:sz w:val="22"/>
        </w:rPr>
        <w:t xml:space="preserve">, </w:t>
      </w:r>
      <w:hyperlink r:id="rId19">
        <w:r>
          <w:rPr>
            <w:rFonts w:ascii="Calibri" w:hAnsi="Calibri"/>
            <w:sz w:val="22"/>
            <w:color w:val="0284C7"/>
            <w:u w:val="single"/>
          </w:rPr>
          <w:t>stats::cor.test</w:t>
        </w:r>
      </w:hyperlink>
      <w:r>
        <w:rPr>
          <w:rFonts w:ascii="Calibri" w:hAnsi="Calibri"/>
          <w:color w:val="1E293B"/>
          <w:sz w:val="22"/>
        </w:rPr>
        <w:t xml:space="preserve">, </w:t>
      </w:r>
      <w:hyperlink r:id="rId20">
        <w:r>
          <w:rPr>
            <w:rFonts w:ascii="Calibri" w:hAnsi="Calibri"/>
            <w:sz w:val="22"/>
            <w:color w:val="0284C7"/>
            <w:u w:val="single"/>
          </w:rPr>
          <w:t>stats::t.test</w:t>
        </w:r>
      </w:hyperlink>
      <w:r>
        <w:rPr>
          <w:rFonts w:ascii="Calibri" w:hAnsi="Calibri"/>
          <w:color w:val="1E293B"/>
          <w:sz w:val="22"/>
        </w:rPr>
        <w:t xml:space="preserve">, </w:t>
      </w:r>
      <w:hyperlink r:id="rId21">
        <w:r>
          <w:rPr>
            <w:rFonts w:ascii="Calibri" w:hAnsi="Calibri"/>
            <w:sz w:val="22"/>
            <w:color w:val="0284C7"/>
            <w:u w:val="single"/>
          </w:rPr>
          <w:t>stats::aov</w:t>
        </w:r>
      </w:hyperlink>
      <w:r>
        <w:rPr>
          <w:rFonts w:ascii="Calibri" w:hAnsi="Calibri"/>
          <w:color w:val="1E293B"/>
          <w:sz w:val="22"/>
        </w:rPr>
        <w:t>), builds five continuous regression specifications (</w:t>
      </w:r>
      <w:hyperlink r:id="rId22">
        <w:r>
          <w:rPr>
            <w:rFonts w:ascii="Calibri" w:hAnsi="Calibri"/>
            <w:sz w:val="22"/>
            <w:color w:val="0284C7"/>
            <w:u w:val="single"/>
          </w:rPr>
          <w:t>stats::lm</w:t>
        </w:r>
      </w:hyperlink>
      <w:r>
        <w:rPr>
          <w:rFonts w:ascii="Calibri" w:hAnsi="Calibri"/>
          <w:color w:val="1E293B"/>
          <w:sz w:val="22"/>
        </w:rPr>
        <w:t xml:space="preserve"> and </w:t>
      </w:r>
      <w:hyperlink r:id="rId23">
        <w:r>
          <w:rPr>
            <w:rFonts w:ascii="Calibri" w:hAnsi="Calibri"/>
            <w:sz w:val="22"/>
            <w:color w:val="0284C7"/>
            <w:u w:val="single"/>
          </w:rPr>
          <w:t>glmnet</w:t>
        </w:r>
      </w:hyperlink>
      <w:r>
        <w:rPr>
          <w:rFonts w:ascii="Calibri" w:hAnsi="Calibri"/>
          <w:color w:val="1E293B"/>
          <w:sz w:val="22"/>
        </w:rPr>
        <w:t>) alongside two binomial logistic classifiers (</w:t>
      </w:r>
      <w:hyperlink r:id="rId24">
        <w:r>
          <w:rPr>
            <w:rFonts w:ascii="Calibri" w:hAnsi="Calibri"/>
            <w:sz w:val="22"/>
            <w:color w:val="0284C7"/>
            <w:u w:val="single"/>
          </w:rPr>
          <w:t>stats::glm</w:t>
        </w:r>
      </w:hyperlink>
      <w:r>
        <w:rPr>
          <w:rFonts w:ascii="Calibri" w:hAnsi="Calibri"/>
          <w:color w:val="1E293B"/>
          <w:sz w:val="22"/>
        </w:rPr>
        <w:t xml:space="preserve">), and validates generalization performance via Leave-One-Out Cross-Validation (LOOCV) and 10-Fold Cross-Validation in </w:t>
      </w:r>
      <w:hyperlink r:id="rId25">
        <w:r>
          <w:rPr>
            <w:rFonts w:ascii="Calibri" w:hAnsi="Calibri"/>
            <w:sz w:val="22"/>
            <w:color w:val="0284C7"/>
            <w:u w:val="single"/>
          </w:rPr>
          <w:t>caret</w:t>
        </w:r>
      </w:hyperlink>
      <w:r>
        <w:rPr>
          <w:rFonts w:ascii="Calibri" w:hAnsi="Calibri"/>
          <w:color w:val="1E293B"/>
          <w:sz w:val="22"/>
        </w:rPr>
        <w:t>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Phase IV — Executive Synthesis, Business Impacts, and Future Roadmap (Week 4 Capstone): </w:t>
      </w:r>
      <w:r>
        <w:rPr>
          <w:rFonts w:ascii="Calibri" w:hAnsi="Calibri"/>
          <w:color w:val="1E293B"/>
          <w:sz w:val="22"/>
        </w:rPr>
        <w:t>Translates the optimal physical interaction model (</w:t>
      </w:r>
      <w:r>
        <w:rPr>
          <w:rFonts w:ascii="Courier New" w:hAnsi="Courier New"/>
          <w:b/>
          <w:color w:val="1E3A5F"/>
          <w:sz w:val="21"/>
        </w:rPr>
        <w:t>mpg ~ wt * am + qsec</w:t>
      </w:r>
      <w:r>
        <w:rPr>
          <w:rFonts w:ascii="Calibri" w:hAnsi="Calibri"/>
          <w:color w:val="1E293B"/>
          <w:sz w:val="22"/>
        </w:rPr>
        <w:t>, Adjusted R^2 = 0.8804, LOOCV RMSE = 2.2704 mpg) and powertrain classifiers (LOOCV Accuracy = 90.62%, AUC = 0.9069) into concrete automotive R&amp;D lightweighting targets, commercial fleet fuel-expenditure simulations, and regulatory compliance strategies.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E3A5F"/>
          <w:bottom w:val="single" w:sz="8" w:space="0" w:color="1E3A5F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Internship Phase</w:t>
            </w:r>
          </w:p>
        </w:tc>
        <w:tc>
          <w:tcPr>
            <w:tcW w:type="dxa" w:w="234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Primary Objective</w:t>
            </w:r>
          </w:p>
        </w:tc>
        <w:tc>
          <w:tcPr>
            <w:tcW w:type="dxa" w:w="234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Core R Packages &amp; Functions</w:t>
            </w:r>
          </w:p>
        </w:tc>
        <w:tc>
          <w:tcPr>
            <w:tcW w:type="dxa" w:w="234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Key Quantitative Outcome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Week 1: Data Cleaning</w:t>
            </w:r>
          </w:p>
        </w:tc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Missing value imputation, IQR outlier detection, scaling &amp; encoding</w:t>
            </w:r>
          </w:p>
        </w:tc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dplyr, tidyr, scale(), quantile(), factor()</w:t>
            </w:r>
          </w:p>
        </w:tc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 NAs; &lt; 0.35% imputation shift; 5 exact IQR tail outliers audited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Week 2: Visualization</w:t>
            </w:r>
          </w:p>
        </w:tc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Multi-variable visual storytelling for technical &amp; business audiences</w:t>
            </w:r>
          </w:p>
        </w:tc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ggplot2, corrplot, geom_point(), geom_bar(), geom_density()</w:t>
            </w:r>
          </w:p>
        </w:tc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4-Cyl Manuals achieve 28.08 mpg vs. 15.05 mpg for 8-Cyl Automatics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Week 3: Modeling</w:t>
            </w:r>
          </w:p>
        </w:tc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Hypothesis testing, OLS/Ridge regression &amp; binomial GLM classification</w:t>
            </w:r>
          </w:p>
        </w:tc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stats::lm, glm, caret, car::vif, lmtest::bptest, pROC</w:t>
            </w:r>
          </w:p>
        </w:tc>
        <w:tc>
          <w:tcPr>
            <w:tcW w:type="dxa" w:w="234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/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Interaction OLS Adj. R2 = 0.8804 (LOOCV RMSE = 2.27 mpg); GLM Acc = 90.62%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Week 4: Reporting</w:t>
            </w:r>
          </w:p>
        </w:tc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End-to-end synthesis, fleet cost simulation &amp; strategic R&amp;D roadmap</w:t>
            </w:r>
          </w:p>
        </w:tc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Integrated R Pipeline, MASS::rlm, mgcv::gam, randomForest</w:t>
            </w:r>
          </w:p>
        </w:tc>
        <w:tc>
          <w:tcPr>
            <w:tcW w:type="dxa" w:w="234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10% mass reduction yields +0.95 to +1.71 mpg; saves $1.60M/yr per 1,000 cars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2. Data Preparation and Preprocessing Methodology (Week 1 Integration)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2.1 Dataset Taxonomy and Structural Integrity Verification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</w:t>
      </w:r>
      <w:hyperlink r:id="rId26">
        <w:r>
          <w:rPr>
            <w:rFonts w:ascii="Calibri" w:hAnsi="Calibri"/>
            <w:sz w:val="22"/>
            <w:color w:val="0284C7"/>
            <w:u w:val="single"/>
          </w:rPr>
          <w:t>mtcars dataset</w:t>
        </w:r>
      </w:hyperlink>
      <w:r>
        <w:rPr>
          <w:rFonts w:ascii="Calibri" w:hAnsi="Calibri"/>
          <w:color w:val="1E293B"/>
          <w:sz w:val="22"/>
        </w:rPr>
        <w:t xml:space="preserve"> records 32 automobiles across 11 numerical variables: 6 continuous physical measurements—fuel economy (</w:t>
      </w:r>
      <w:r>
        <w:rPr>
          <w:rFonts w:ascii="Courier New" w:hAnsi="Courier New"/>
          <w:b/>
          <w:color w:val="1E3A5F"/>
          <w:sz w:val="21"/>
        </w:rPr>
        <w:t>mpg</w:t>
      </w:r>
      <w:r>
        <w:rPr>
          <w:rFonts w:ascii="Calibri" w:hAnsi="Calibri"/>
          <w:color w:val="1E293B"/>
          <w:sz w:val="22"/>
        </w:rPr>
        <w:t>, range 10.40 to 33.90 mpg), engine displacement (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>, range 71.10 to 472.00 cu.in.), gross horsepower (</w:t>
      </w:r>
      <w:r>
        <w:rPr>
          <w:rFonts w:ascii="Courier New" w:hAnsi="Courier New"/>
          <w:b/>
          <w:color w:val="1E3A5F"/>
          <w:sz w:val="21"/>
        </w:rPr>
        <w:t>hp</w:t>
      </w:r>
      <w:r>
        <w:rPr>
          <w:rFonts w:ascii="Calibri" w:hAnsi="Calibri"/>
          <w:color w:val="1E293B"/>
          <w:sz w:val="22"/>
        </w:rPr>
        <w:t>, range 52.0 to 335.0 hp), rear axle ratio (</w:t>
      </w:r>
      <w:r>
        <w:rPr>
          <w:rFonts w:ascii="Courier New" w:hAnsi="Courier New"/>
          <w:b/>
          <w:color w:val="1E3A5F"/>
          <w:sz w:val="21"/>
        </w:rPr>
        <w:t>drat</w:t>
      </w:r>
      <w:r>
        <w:rPr>
          <w:rFonts w:ascii="Calibri" w:hAnsi="Calibri"/>
          <w:color w:val="1E293B"/>
          <w:sz w:val="22"/>
        </w:rPr>
        <w:t>, range 2.760 to 4.930), curb weight (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>, range 1.513 to 5.424 thousand lbs), and quarter-mile acceleration time (</w:t>
      </w:r>
      <w:r>
        <w:rPr>
          <w:rFonts w:ascii="Courier New" w:hAnsi="Courier New"/>
          <w:b/>
          <w:color w:val="1E3A5F"/>
          <w:sz w:val="21"/>
        </w:rPr>
        <w:t>qsec</w:t>
      </w:r>
      <w:r>
        <w:rPr>
          <w:rFonts w:ascii="Calibri" w:hAnsi="Calibri"/>
          <w:color w:val="1E293B"/>
          <w:sz w:val="22"/>
        </w:rPr>
        <w:t>, range 14.50 to 22.90 seconds)—alongside 3 discrete structural counts (</w:t>
      </w:r>
      <w:r>
        <w:rPr>
          <w:rFonts w:ascii="Courier New" w:hAnsi="Courier New"/>
          <w:b/>
          <w:color w:val="1E3A5F"/>
          <w:sz w:val="21"/>
        </w:rPr>
        <w:t>cyl</w:t>
      </w:r>
      <w:r>
        <w:rPr>
          <w:rFonts w:ascii="Calibri" w:hAnsi="Calibri"/>
          <w:color w:val="1E293B"/>
          <w:sz w:val="22"/>
        </w:rPr>
        <w:t xml:space="preserve"> in {4, 6, 8}; </w:t>
      </w:r>
      <w:r>
        <w:rPr>
          <w:rFonts w:ascii="Courier New" w:hAnsi="Courier New"/>
          <w:b/>
          <w:color w:val="1E3A5F"/>
          <w:sz w:val="21"/>
        </w:rPr>
        <w:t>gear</w:t>
      </w:r>
      <w:r>
        <w:rPr>
          <w:rFonts w:ascii="Calibri" w:hAnsi="Calibri"/>
          <w:color w:val="1E293B"/>
          <w:sz w:val="22"/>
        </w:rPr>
        <w:t xml:space="preserve"> in {3, 4, 5}; </w:t>
      </w:r>
      <w:r>
        <w:rPr>
          <w:rFonts w:ascii="Courier New" w:hAnsi="Courier New"/>
          <w:b/>
          <w:color w:val="1E3A5F"/>
          <w:sz w:val="21"/>
        </w:rPr>
        <w:t>carb</w:t>
      </w:r>
      <w:r>
        <w:rPr>
          <w:rFonts w:ascii="Calibri" w:hAnsi="Calibri"/>
          <w:color w:val="1E293B"/>
          <w:sz w:val="22"/>
        </w:rPr>
        <w:t xml:space="preserve"> in {1, 2, 3, 4, 6, 8}) and 2 binary architecture indicators (</w:t>
      </w:r>
      <w:r>
        <w:rPr>
          <w:rFonts w:ascii="Courier New" w:hAnsi="Courier New"/>
          <w:b/>
          <w:color w:val="1E3A5F"/>
          <w:sz w:val="21"/>
        </w:rPr>
        <w:t>vs</w:t>
      </w:r>
      <w:r>
        <w:rPr>
          <w:rFonts w:ascii="Calibri" w:hAnsi="Calibri"/>
          <w:color w:val="1E293B"/>
          <w:sz w:val="22"/>
        </w:rPr>
        <w:t xml:space="preserve">: 0 = V-shaped block, 1 = Straight inline block; </w:t>
      </w:r>
      <w:r>
        <w:rPr>
          <w:rFonts w:ascii="Courier New" w:hAnsi="Courier New"/>
          <w:b/>
          <w:color w:val="1E3A5F"/>
          <w:sz w:val="21"/>
        </w:rPr>
        <w:t>am</w:t>
      </w:r>
      <w:r>
        <w:rPr>
          <w:rFonts w:ascii="Calibri" w:hAnsi="Calibri"/>
          <w:color w:val="1E293B"/>
          <w:sz w:val="22"/>
        </w:rPr>
        <w:t>: 0 = Automatic transmission, 1 = Manual transmission).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2.2 Missing Value Handling: Grouped Median Imputation Audit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While the base </w:t>
      </w:r>
      <w:r>
        <w:rPr>
          <w:rFonts w:ascii="Courier New" w:hAnsi="Courier New"/>
          <w:b/>
          <w:color w:val="1E3A5F"/>
          <w:sz w:val="21"/>
        </w:rPr>
        <w:t>mtcars</w:t>
      </w:r>
      <w:r>
        <w:rPr>
          <w:rFonts w:ascii="Calibri" w:hAnsi="Calibri"/>
          <w:color w:val="1E293B"/>
          <w:sz w:val="22"/>
        </w:rPr>
        <w:t xml:space="preserve"> table contains zero native missing values (</w:t>
      </w:r>
      <w:r>
        <w:rPr>
          <w:rFonts w:ascii="Courier New" w:hAnsi="Courier New"/>
          <w:b/>
          <w:color w:val="1E3A5F"/>
          <w:sz w:val="21"/>
        </w:rPr>
        <w:t>sum(is.na(mtcars)) == 0</w:t>
      </w:r>
      <w:r>
        <w:rPr>
          <w:rFonts w:ascii="Calibri" w:hAnsi="Calibri"/>
          <w:color w:val="1E293B"/>
          <w:sz w:val="22"/>
        </w:rPr>
        <w:t xml:space="preserve">), real-world automotive telemetry frequently suffers from missing dynamometer or scale readings. In Week 1, to rigorously validate missing-value preprocessing in R without introducing mean-value distortion across skewed subgroups, a controlled 10% Missing Completely at Random (MCAR, n = 3 observations per feature, </w:t>
      </w:r>
      <w:r>
        <w:rPr>
          <w:rFonts w:ascii="Courier New" w:hAnsi="Courier New"/>
          <w:b/>
          <w:color w:val="1E3A5F"/>
          <w:sz w:val="21"/>
        </w:rPr>
        <w:t>set.seed(101)</w:t>
      </w:r>
      <w:r>
        <w:rPr>
          <w:rFonts w:ascii="Calibri" w:hAnsi="Calibri"/>
          <w:color w:val="1E293B"/>
          <w:sz w:val="22"/>
        </w:rPr>
        <w:t xml:space="preserve">) sensor dropout was simulated on </w:t>
      </w:r>
      <w:r>
        <w:rPr>
          <w:rFonts w:ascii="Courier New" w:hAnsi="Courier New"/>
          <w:b/>
          <w:color w:val="1E3A5F"/>
          <w:sz w:val="21"/>
        </w:rPr>
        <w:t>hp</w:t>
      </w:r>
      <w:r>
        <w:rPr>
          <w:rFonts w:ascii="Calibri" w:hAnsi="Calibri"/>
          <w:color w:val="1E293B"/>
          <w:sz w:val="22"/>
        </w:rPr>
        <w:t xml:space="preserve"> (dropping </w:t>
      </w:r>
      <w:r>
        <w:rPr>
          <w:rFonts w:ascii="Courier New" w:hAnsi="Courier New"/>
          <w:b/>
          <w:color w:val="1E3A5F"/>
          <w:sz w:val="21"/>
        </w:rPr>
        <w:t>Datsun 710</w:t>
      </w:r>
      <w:r>
        <w:rPr>
          <w:rFonts w:ascii="Calibri" w:hAnsi="Calibri"/>
          <w:color w:val="1E293B"/>
          <w:sz w:val="22"/>
        </w:rPr>
        <w:t xml:space="preserve"> = 93 hp, </w:t>
      </w:r>
      <w:r>
        <w:rPr>
          <w:rFonts w:ascii="Courier New" w:hAnsi="Courier New"/>
          <w:b/>
          <w:color w:val="1E3A5F"/>
          <w:sz w:val="21"/>
        </w:rPr>
        <w:t>Merc 280</w:t>
      </w:r>
      <w:r>
        <w:rPr>
          <w:rFonts w:ascii="Calibri" w:hAnsi="Calibri"/>
          <w:color w:val="1E293B"/>
          <w:sz w:val="22"/>
        </w:rPr>
        <w:t xml:space="preserve"> = 123 hp, and </w:t>
      </w:r>
      <w:r>
        <w:rPr>
          <w:rFonts w:ascii="Courier New" w:hAnsi="Courier New"/>
          <w:b/>
          <w:color w:val="1E3A5F"/>
          <w:sz w:val="21"/>
        </w:rPr>
        <w:t>Camaro Z28</w:t>
      </w:r>
      <w:r>
        <w:rPr>
          <w:rFonts w:ascii="Calibri" w:hAnsi="Calibri"/>
          <w:color w:val="1E293B"/>
          <w:sz w:val="22"/>
        </w:rPr>
        <w:t xml:space="preserve"> = 245 hp) and 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 xml:space="preserve">. Rather than applying naive global mean imputation—which pulls compact 4-cylinder cars toward heavy V8 averages—we implemented </w:t>
      </w:r>
      <w:r>
        <w:rPr>
          <w:rFonts w:ascii="Calibri" w:hAnsi="Calibri"/>
          <w:b/>
          <w:color w:val="1E293B"/>
          <w:sz w:val="22"/>
        </w:rPr>
        <w:t>cylinder-stratified group-median imputation</w:t>
      </w:r>
      <w:r>
        <w:rPr>
          <w:rFonts w:ascii="Calibri" w:hAnsi="Calibri"/>
          <w:color w:val="1E293B"/>
          <w:sz w:val="22"/>
        </w:rPr>
        <w:t xml:space="preserve"> via </w:t>
      </w:r>
      <w:hyperlink r:id="rId14">
        <w:r>
          <w:rPr>
            <w:rFonts w:ascii="Calibri" w:hAnsi="Calibri"/>
            <w:sz w:val="22"/>
            <w:color w:val="0284C7"/>
            <w:u w:val="single"/>
          </w:rPr>
          <w:t>dplyr::group_by(cyl)</w:t>
        </w:r>
      </w:hyperlink>
      <w:r>
        <w:rPr>
          <w:rFonts w:ascii="Calibri" w:hAnsi="Calibri"/>
          <w:color w:val="1E293B"/>
          <w:sz w:val="22"/>
        </w:rPr>
        <w:t xml:space="preserve"> and </w:t>
      </w:r>
      <w:hyperlink r:id="rId15">
        <w:r>
          <w:rPr>
            <w:rFonts w:ascii="Calibri" w:hAnsi="Calibri"/>
            <w:sz w:val="22"/>
            <w:color w:val="0284C7"/>
            <w:u w:val="single"/>
          </w:rPr>
          <w:t>tidyr::replace_na()</w:t>
        </w:r>
      </w:hyperlink>
      <w:r>
        <w:rPr>
          <w:rFonts w:ascii="Calibri" w:hAnsi="Calibri"/>
          <w:color w:val="1E293B"/>
          <w:sz w:val="22"/>
        </w:rPr>
        <w:t xml:space="preserve">. Because subgroup medians (4-cyl = 91.0 hp, 6-cyl = 110.0 hp, 8-cyl = 180.0 hp) respect the physical engine tier, imputing missing values by cylinder class preserves the sample mean of </w:t>
      </w:r>
      <w:r>
        <w:rPr>
          <w:rFonts w:ascii="Courier New" w:hAnsi="Courier New"/>
          <w:b/>
          <w:color w:val="1E3A5F"/>
          <w:sz w:val="21"/>
        </w:rPr>
        <w:t>hp</w:t>
      </w:r>
      <w:r>
        <w:rPr>
          <w:rFonts w:ascii="Calibri" w:hAnsi="Calibri"/>
          <w:color w:val="1E293B"/>
          <w:sz w:val="22"/>
        </w:rPr>
        <w:t xml:space="preserve"> within -0.34% (146.19 hp vs. true 146.69 hp) and standard deviation within -0.64% (68.12 hp vs. true 68.56 hp), compared to a +4.18% distortion under global mean imputation (Figure 2A).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2.3 Outlier Detection via Tukey's 1.5 x IQR Rule and Z-Score Auditing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To distinguish legitimate extreme engineering designs from data-entry errors, every continuous variable was audited using Tukey's interquartile fence criterion (</w:t>
      </w:r>
      <w:r>
        <w:rPr>
          <w:rFonts w:ascii="Courier New" w:hAnsi="Courier New"/>
          <w:b/>
          <w:color w:val="1E3A5F"/>
          <w:sz w:val="21"/>
        </w:rPr>
        <w:t>[Q1 - 1.5 * IQR, Q3 + 1.5 * IQR]</w:t>
      </w:r>
      <w:r>
        <w:rPr>
          <w:rFonts w:ascii="Calibri" w:hAnsi="Calibri"/>
          <w:color w:val="1E293B"/>
          <w:sz w:val="22"/>
        </w:rPr>
        <w:t>) and standardized Z-scores (</w:t>
      </w:r>
      <w:r>
        <w:rPr>
          <w:rFonts w:ascii="Courier New" w:hAnsi="Courier New"/>
          <w:b/>
          <w:color w:val="1E3A5F"/>
          <w:sz w:val="21"/>
        </w:rPr>
        <w:t>|Z| = |(X - mean(X)) / sd(X)|</w:t>
      </w:r>
      <w:r>
        <w:rPr>
          <w:rFonts w:ascii="Calibri" w:hAnsi="Calibri"/>
          <w:color w:val="1E293B"/>
          <w:sz w:val="22"/>
        </w:rPr>
        <w:t>). Five specific vehicle observations exceed Tukey's upper fence across the dataset (Figure 1 and Figure 2B):</w:t>
      </w:r>
      <w:r>
        <w:rPr>
          <w:rFonts w:ascii="Calibri" w:hAnsi="Calibri"/>
          <w:color w:val="1E293B"/>
          <w:sz w:val="22"/>
        </w:rPr>
        <w:br/>
        <w:t xml:space="preserve">1. </w:t>
      </w:r>
      <w:r>
        <w:rPr>
          <w:rFonts w:ascii="Calibri" w:hAnsi="Calibri"/>
          <w:b/>
          <w:color w:val="1E293B"/>
          <w:sz w:val="22"/>
        </w:rPr>
        <w:t xml:space="preserve">Fuel Economy (mpg): </w:t>
      </w:r>
      <w:r>
        <w:rPr>
          <w:rFonts w:ascii="Calibri" w:hAnsi="Calibri"/>
          <w:color w:val="1E293B"/>
          <w:sz w:val="22"/>
        </w:rPr>
        <w:t xml:space="preserve">Q1 = 15.425, Q3 = 22.800, IQR = 7.375 mpg, Upper Fence = 33.8625 mpg. The </w:t>
      </w:r>
      <w:r>
        <w:rPr>
          <w:rFonts w:ascii="Courier New" w:hAnsi="Courier New"/>
          <w:b/>
          <w:color w:val="1E3A5F"/>
          <w:sz w:val="21"/>
        </w:rPr>
        <w:t>Toyota Corolla</w:t>
      </w:r>
      <w:r>
        <w:rPr>
          <w:rFonts w:ascii="Calibri" w:hAnsi="Calibri"/>
          <w:color w:val="1E293B"/>
          <w:sz w:val="22"/>
        </w:rPr>
        <w:t xml:space="preserve"> records 33.90 mpg (Z = +2.291), exceeding the upper fence by 0.0375 mpg due to its ultra-light 1,835-lb chassis and 71.1 cu.in. 4-cylinder engine.</w:t>
      </w:r>
      <w:r>
        <w:rPr>
          <w:rFonts w:ascii="Calibri" w:hAnsi="Calibri"/>
          <w:color w:val="1E293B"/>
          <w:sz w:val="22"/>
        </w:rPr>
        <w:br/>
        <w:t xml:space="preserve">2. </w:t>
      </w:r>
      <w:r>
        <w:rPr>
          <w:rFonts w:ascii="Calibri" w:hAnsi="Calibri"/>
          <w:b/>
          <w:color w:val="1E293B"/>
          <w:sz w:val="22"/>
        </w:rPr>
        <w:t xml:space="preserve">Gross Horsepower (hp): </w:t>
      </w:r>
      <w:r>
        <w:rPr>
          <w:rFonts w:ascii="Calibri" w:hAnsi="Calibri"/>
          <w:color w:val="1E293B"/>
          <w:sz w:val="22"/>
        </w:rPr>
        <w:t xml:space="preserve">Q1 = 96.50, Q3 = 180.00, IQR = 83.50 hp, Upper Fence = 305.25 hp. The Italian V8 supercar 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 xml:space="preserve"> records 335.0 hp (Z = +2.747), exceeding the upper fence by 29.75 hp.</w:t>
      </w:r>
      <w:r>
        <w:rPr>
          <w:rFonts w:ascii="Calibri" w:hAnsi="Calibri"/>
          <w:color w:val="1E293B"/>
          <w:sz w:val="22"/>
        </w:rPr>
        <w:br/>
        <w:t xml:space="preserve">3. </w:t>
      </w:r>
      <w:r>
        <w:rPr>
          <w:rFonts w:ascii="Calibri" w:hAnsi="Calibri"/>
          <w:b/>
          <w:color w:val="1E293B"/>
          <w:sz w:val="22"/>
        </w:rPr>
        <w:t xml:space="preserve">Curb Weight (wt): </w:t>
      </w:r>
      <w:r>
        <w:rPr>
          <w:rFonts w:ascii="Calibri" w:hAnsi="Calibri"/>
          <w:color w:val="1E293B"/>
          <w:sz w:val="22"/>
        </w:rPr>
        <w:t xml:space="preserve">Q1 = 2.581, Q3 = 3.610, IQR = 1.029 thousand lbs, Upper Fence = 5.1535 thousand lbs. Three full-size American luxury V8 sedans exceed this threshold: </w:t>
      </w:r>
      <w:r>
        <w:rPr>
          <w:rFonts w:ascii="Courier New" w:hAnsi="Courier New"/>
          <w:b/>
          <w:color w:val="1E3A5F"/>
          <w:sz w:val="21"/>
        </w:rPr>
        <w:t>Cadillac Fleetwood</w:t>
      </w:r>
      <w:r>
        <w:rPr>
          <w:rFonts w:ascii="Calibri" w:hAnsi="Calibri"/>
          <w:color w:val="1E293B"/>
          <w:sz w:val="22"/>
        </w:rPr>
        <w:t xml:space="preserve"> (wt = 5.250, Z = +2.077), </w:t>
      </w:r>
      <w:r>
        <w:rPr>
          <w:rFonts w:ascii="Courier New" w:hAnsi="Courier New"/>
          <w:b/>
          <w:color w:val="1E3A5F"/>
          <w:sz w:val="21"/>
        </w:rPr>
        <w:t>Chrysler Imperial</w:t>
      </w:r>
      <w:r>
        <w:rPr>
          <w:rFonts w:ascii="Calibri" w:hAnsi="Calibri"/>
          <w:color w:val="1E293B"/>
          <w:sz w:val="22"/>
        </w:rPr>
        <w:t xml:space="preserve"> (wt = 5.345, Z = +2.175), and </w:t>
      </w:r>
      <w:r>
        <w:rPr>
          <w:rFonts w:ascii="Courier New" w:hAnsi="Courier New"/>
          <w:b/>
          <w:color w:val="1E3A5F"/>
          <w:sz w:val="21"/>
        </w:rPr>
        <w:t>Lincoln Continental</w:t>
      </w:r>
      <w:r>
        <w:rPr>
          <w:rFonts w:ascii="Calibri" w:hAnsi="Calibri"/>
          <w:color w:val="1E293B"/>
          <w:sz w:val="22"/>
        </w:rPr>
        <w:t xml:space="preserve"> (wt = 5.424, Z = +2.255).</w:t>
      </w:r>
      <w:r>
        <w:rPr>
          <w:rFonts w:ascii="Calibri" w:hAnsi="Calibri"/>
          <w:color w:val="1E293B"/>
          <w:sz w:val="22"/>
        </w:rPr>
        <w:br/>
        <w:t xml:space="preserve">4. </w:t>
      </w:r>
      <w:r>
        <w:rPr>
          <w:rFonts w:ascii="Calibri" w:hAnsi="Calibri"/>
          <w:b/>
          <w:color w:val="1E293B"/>
          <w:sz w:val="22"/>
        </w:rPr>
        <w:t xml:space="preserve">Quarter-Mile Time (qsec) &amp; Carburetors (carb): </w:t>
      </w:r>
      <w:r>
        <w:rPr>
          <w:rFonts w:ascii="Calibri" w:hAnsi="Calibri"/>
          <w:color w:val="1E293B"/>
          <w:sz w:val="22"/>
        </w:rPr>
        <w:t xml:space="preserve">The diesel-powered </w:t>
      </w:r>
      <w:r>
        <w:rPr>
          <w:rFonts w:ascii="Courier New" w:hAnsi="Courier New"/>
          <w:b/>
          <w:color w:val="1E3A5F"/>
          <w:sz w:val="21"/>
        </w:rPr>
        <w:t>Merc 230</w:t>
      </w:r>
      <w:r>
        <w:rPr>
          <w:rFonts w:ascii="Calibri" w:hAnsi="Calibri"/>
          <w:color w:val="1E293B"/>
          <w:sz w:val="22"/>
        </w:rPr>
        <w:t xml:space="preserve"> exceeds the upper acceleration fence (qsec = 22.90 s &gt; 21.91 s, Z = +2.827), while the 8-barrel 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 xml:space="preserve"> exceeds the carburetor fence (carb = 8 &gt; 7.0, Z = +3.212). Because all five vehicles represent verified production specifications rather than measurement corruption, they were retained in the primary dataset and monitored via Cook's Distance in regression diagnostics.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2.4 Feature Scaling (Z-Score &amp; Min-Max) and Categorical Factor Encoding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Because raw engineering units span two orders of magnitude—from 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 xml:space="preserve"> (1.51 to 5.42 thousand lbs) to 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 xml:space="preserve"> (71.1 to 472.0 cu.in.)—two mathematical transformations were implemented in R (Figure 2C): (1) </w:t>
      </w:r>
      <w:r>
        <w:rPr>
          <w:rFonts w:ascii="Calibri" w:hAnsi="Calibri"/>
          <w:b/>
          <w:color w:val="1E293B"/>
          <w:sz w:val="22"/>
        </w:rPr>
        <w:t>Z-Score Standardization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urier New" w:hAnsi="Courier New"/>
          <w:b/>
          <w:color w:val="1E3A5F"/>
          <w:sz w:val="21"/>
        </w:rPr>
        <w:t>z_x = (x - mean(x)) / sd(x)</w:t>
      </w:r>
      <w:r>
        <w:rPr>
          <w:rFonts w:ascii="Calibri" w:hAnsi="Calibri"/>
          <w:color w:val="1E293B"/>
          <w:sz w:val="22"/>
        </w:rPr>
        <w:t>, ensuring mean = 0 and SD = 1) for L2 Ridge penalized regression (</w:t>
      </w:r>
      <w:r>
        <w:rPr>
          <w:rFonts w:ascii="Courier New" w:hAnsi="Courier New"/>
          <w:b/>
          <w:color w:val="1E3A5F"/>
          <w:sz w:val="21"/>
        </w:rPr>
        <w:t>glmnet</w:t>
      </w:r>
      <w:r>
        <w:rPr>
          <w:rFonts w:ascii="Calibri" w:hAnsi="Calibri"/>
          <w:color w:val="1E293B"/>
          <w:sz w:val="22"/>
        </w:rPr>
        <w:t xml:space="preserve">) so penalty shrinkage is invariant to measurement scale, and (2) </w:t>
      </w:r>
      <w:r>
        <w:rPr>
          <w:rFonts w:ascii="Calibri" w:hAnsi="Calibri"/>
          <w:b/>
          <w:color w:val="1E293B"/>
          <w:sz w:val="22"/>
        </w:rPr>
        <w:t>Min-Max Normalization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urier New" w:hAnsi="Courier New"/>
          <w:b/>
          <w:color w:val="1E3A5F"/>
          <w:sz w:val="21"/>
        </w:rPr>
        <w:t>norm_x = (x - min(x)) / (max(x) - min(x))</w:t>
      </w:r>
      <w:r>
        <w:rPr>
          <w:rFonts w:ascii="Calibri" w:hAnsi="Calibri"/>
          <w:color w:val="1E293B"/>
          <w:sz w:val="22"/>
        </w:rPr>
        <w:t>, mapping all features to [0.00, 1.00]) for multi-metric profile comparison. Finally, discrete structural variables were explicitly encoded as labeled R factors (</w:t>
      </w:r>
      <w:r>
        <w:rPr>
          <w:rFonts w:ascii="Courier New" w:hAnsi="Courier New"/>
          <w:b/>
          <w:color w:val="1E3A5F"/>
          <w:sz w:val="21"/>
        </w:rPr>
        <w:t>cyl_f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urier New" w:hAnsi="Courier New"/>
          <w:b/>
          <w:color w:val="1E3A5F"/>
          <w:sz w:val="21"/>
        </w:rPr>
        <w:t>vs_f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urier New" w:hAnsi="Courier New"/>
          <w:b/>
          <w:color w:val="1E3A5F"/>
          <w:sz w:val="21"/>
        </w:rPr>
        <w:t>am_f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urier New" w:hAnsi="Courier New"/>
          <w:b/>
          <w:color w:val="1E3A5F"/>
          <w:sz w:val="21"/>
        </w:rPr>
        <w:t>gear_f</w:t>
      </w:r>
      <w:r>
        <w:rPr>
          <w:rFonts w:ascii="Calibri" w:hAnsi="Calibri"/>
          <w:color w:val="1E293B"/>
          <w:sz w:val="22"/>
        </w:rPr>
        <w:t xml:space="preserve">) and derived engineering ratios were created, including </w:t>
      </w:r>
      <w:r>
        <w:rPr>
          <w:rFonts w:ascii="Calibri" w:hAnsi="Calibri"/>
          <w:b/>
          <w:color w:val="1E293B"/>
          <w:sz w:val="22"/>
        </w:rPr>
        <w:t>Power-to-Weight Ratio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urier New" w:hAnsi="Courier New"/>
          <w:b/>
          <w:color w:val="1E3A5F"/>
          <w:sz w:val="21"/>
        </w:rPr>
        <w:t>hp_per_wt = hp / wt</w:t>
      </w:r>
      <w:r>
        <w:rPr>
          <w:rFonts w:ascii="Calibri" w:hAnsi="Calibri"/>
          <w:color w:val="1E293B"/>
          <w:sz w:val="22"/>
        </w:rPr>
        <w:t xml:space="preserve">, mean = 45.76 hp/1,000 lbs) and </w:t>
      </w:r>
      <w:r>
        <w:rPr>
          <w:rFonts w:ascii="Calibri" w:hAnsi="Calibri"/>
          <w:b/>
          <w:color w:val="1E293B"/>
          <w:sz w:val="22"/>
        </w:rPr>
        <w:t>Gallons per 100 Miles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urier New" w:hAnsi="Courier New"/>
          <w:b/>
          <w:color w:val="1E3A5F"/>
          <w:sz w:val="21"/>
        </w:rPr>
        <w:t>gpm_100 = 100 / mpg</w:t>
      </w:r>
      <w:r>
        <w:rPr>
          <w:rFonts w:ascii="Calibri" w:hAnsi="Calibri"/>
          <w:color w:val="1E293B"/>
          <w:sz w:val="22"/>
        </w:rPr>
        <w:t>, mean = 5.429 gal/100 mi).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D9488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80" w:line="252" w:lineRule="auto"/>
            </w:pPr>
            <w:r>
              <w:rPr>
                <w:rFonts w:ascii="Calibri" w:hAnsi="Calibri"/>
                <w:b/>
                <w:color w:val="1E3A5F"/>
                <w:sz w:val="21"/>
              </w:rPr>
              <w:t>R Code Excerpt 1 (Week 1 Pipeline) — Data Cleaning, Group-Median Imputation, IQR Outliers &amp; Scaling:</w:t>
              <w:br/>
            </w:r>
            <w:r>
              <w:rPr>
                <w:rFonts w:ascii="Courier New" w:hAnsi="Courier New"/>
                <w:color w:val="1E293B"/>
                <w:sz w:val="20"/>
              </w:rPr>
              <w:t>library(dplyr); library(tidyr)</w:t>
              <w:br/>
              <w:t>data(mtcars)</w:t>
              <w:br/>
              <w:br/>
              <w:t># 1. Cylinder-Stratified Group-Median Imputation Function</w:t>
              <w:br/>
              <w:t>impute_by_cyl &lt;- function(df_in) {</w:t>
              <w:br/>
              <w:t xml:space="preserve">  df_in %&gt;% group_by(cyl) %&gt;%</w:t>
              <w:br/>
              <w:t xml:space="preserve">    mutate(hp = ifelse(is.na(hp), median(hp, na.rm = TRUE), hp),</w:t>
              <w:br/>
              <w:t xml:space="preserve">           wt = ifelse(is.na(wt), median(wt, na.rm = TRUE), wt)) %&gt;% ungroup()</w:t>
              <w:br/>
              <w:t>}</w:t>
              <w:br/>
              <w:br/>
              <w:t># 2. Tukey 1.5 x IQR Outlier Detection &amp; Z-Score / Min-Max Normalization</w:t>
              <w:br/>
              <w:t>detect_iqr_outliers &lt;- function(x) {</w:t>
              <w:br/>
              <w:t xml:space="preserve">  q &lt;- quantile(x, probs = c(0.25, 0.75), na.rm = TRUE)</w:t>
              <w:br/>
              <w:t xml:space="preserve">  iqr &lt;- q[2] - q[1]</w:t>
              <w:br/>
              <w:t xml:space="preserve">  which(x &lt; (q[1] - 1.5 * iqr) | x &gt; (q[2] + 1.5 * iqr))</w:t>
              <w:br/>
              <w:t>}</w:t>
              <w:br/>
              <w:t>min_max_norm &lt;- function(x) (x - min(x)) / (max(x) - min(x))</w:t>
              <w:br/>
              <w:br/>
              <w:t># 3. Categorical Factor Encoding &amp; Feature Engineering</w:t>
              <w:br/>
              <w:t>mtcars_clean &lt;- mtcars %&gt;% mutate(</w:t>
              <w:br/>
              <w:t xml:space="preserve">  cyl_f = factor(cyl, levels = c(4, 6, 8), labels = c('4-Cyl', '6-Cyl', '8-Cyl')),</w:t>
              <w:br/>
              <w:t xml:space="preserve">  vs_f  = factor(vs, levels = c(0, 1), labels = c('V-Shaped', 'Straight')),</w:t>
              <w:br/>
              <w:t xml:space="preserve">  am_f  = factor(am, levels = c(0, 1), labels = c('Automatic', 'Manual')),</w:t>
              <w:br/>
              <w:t xml:space="preserve">  hp_per_wt = hp / wt, gpm_100 = 100 / mpg,</w:t>
              <w:br/>
              <w:t xml:space="preserve">   across(c(mpg, disp, hp, drat, wt, qsec), list(z = ~as.numeric(scale(.)), norm = min_max_norm))</w:t>
              <w:br/>
              <w:t>)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49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shot1_cleaning_conso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1 (R Console Output — Week 1 Integration): Structural integrity check, cylinder-stratified median imputation audit, and exact Tukey 1.5xIQR outlier identification.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98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fig1_cleaning_outliers_n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2 (Week 1 Preprocessing Diagnostics): (A) Group-median imputation parameter preservation (&lt; 0.35% shift); (B) Tukey 1.5xIQR outlier audit across Z-standardized variables; (C) Min-Max [0, 1] empirical cumulative distribution functions (ECDFs).</w:t>
      </w: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3. Exploratory Data Analysis and Visual Insight Communication (Week 2 Integration)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In Week 2, the cleaned and factor-encoded dataset was analyzed through a multi-layered </w:t>
      </w:r>
      <w:hyperlink r:id="rId16">
        <w:r>
          <w:rPr>
            <w:rFonts w:ascii="Calibri" w:hAnsi="Calibri"/>
            <w:sz w:val="22"/>
            <w:color w:val="0284C7"/>
            <w:u w:val="single"/>
          </w:rPr>
          <w:t>ggplot2</w:t>
        </w:r>
      </w:hyperlink>
      <w:r>
        <w:rPr>
          <w:rFonts w:ascii="Calibri" w:hAnsi="Calibri"/>
          <w:color w:val="1E293B"/>
          <w:sz w:val="22"/>
        </w:rPr>
        <w:t xml:space="preserve"> visualization framework designed to communicate key mechanical patterns clearly to both technical analysts and non-technical business executives. Table 2 summarizes the complete descriptive and distributional statistics across all 11 variables.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E3A5F"/>
          <w:bottom w:val="single" w:sz="8" w:space="0" w:color="1E3A5F"/>
          <w:insideH w:val="single" w:sz="4" w:space="0" w:color="CBD5E1"/>
          <w:insideV w:val="none"/>
          <w:left w:val="none"/>
          <w:right w:val="none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blHeader/>
          <w:cantSplit/>
        </w:trPr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Variable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Min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1st Qu.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Median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Mean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SD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3rd Qu.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Max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IQR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Skewness</w:t>
            </w:r>
          </w:p>
        </w:tc>
        <w:tc>
          <w:tcPr>
            <w:tcW w:type="dxa" w:w="851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Shapiro W (p-Val)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mpg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10.40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15.43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19.20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20.09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6.03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22.80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33.90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7.38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0.672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0.9476 (0.1229)</w:t>
            </w:r>
          </w:p>
        </w:tc>
      </w:tr>
      <w:tr>
        <w:trPr>
          <w:cantSplit/>
        </w:trPr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cyl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6.00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6.19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1.79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8.00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8.00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-0.192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0.7533 (&lt;0.0001)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disp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71.10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120.83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196.30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230.72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123.94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326.00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472.00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205.18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0.420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0.9200 (0.0208)</w:t>
            </w:r>
          </w:p>
        </w:tc>
      </w:tr>
      <w:tr>
        <w:trPr>
          <w:cantSplit/>
        </w:trPr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hp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52.00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96.50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123.00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146.69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68.56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180.00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335.00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83.50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0.799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0.9334 (0.0488)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drat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2.76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3.08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3.70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3.60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0.53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3.92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4.93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0.84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0.293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0.9459 (0.1101)</w:t>
            </w:r>
          </w:p>
        </w:tc>
      </w:tr>
      <w:tr>
        <w:trPr>
          <w:cantSplit/>
        </w:trPr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wt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1.51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2.58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3.33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3.22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0.98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3.61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5.42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1.03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0.466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0.9433 (0.0927)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qsec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14.50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16.89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17.71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17.85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1.79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18.90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22.90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2.01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0.406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0.9733 (0.5935)</w:t>
            </w:r>
          </w:p>
        </w:tc>
      </w:tr>
      <w:tr>
        <w:trPr>
          <w:cantSplit/>
        </w:trPr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vs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0.44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0.50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0.265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0.6323 (&lt;0.0001)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am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0.41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0.50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0.401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0.6251 (&lt;0.0001)</w:t>
            </w:r>
          </w:p>
        </w:tc>
      </w:tr>
      <w:tr>
        <w:trPr>
          <w:cantSplit/>
        </w:trPr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gear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3.69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0.74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5.00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0.582</w:t>
            </w:r>
          </w:p>
        </w:tc>
        <w:tc>
          <w:tcPr>
            <w:tcW w:type="dxa" w:w="851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0.7728 (&lt;0.0001)</w:t>
            </w:r>
          </w:p>
        </w:tc>
      </w:tr>
      <w:tr>
        <w:trPr>
          <w:cantSplit/>
        </w:trPr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carb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2.81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1.62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4.00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8.00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2.00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1.157</w:t>
            </w:r>
          </w:p>
        </w:tc>
        <w:tc>
          <w:tcPr>
            <w:tcW w:type="dxa" w:w="85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righ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0.8511 (0.0004)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>Key Visual Insights &amp; Rationale for Graph Selection (Figure 3 and Figure 4):</w:t>
      </w:r>
      <w:r>
        <w:rPr>
          <w:rFonts w:ascii="Calibri" w:hAnsi="Calibri"/>
          <w:color w:val="1E293B"/>
          <w:sz w:val="22"/>
        </w:rPr>
        <w:br/>
        <w:t xml:space="preserve">1. </w:t>
      </w:r>
      <w:r>
        <w:rPr>
          <w:rFonts w:ascii="Calibri" w:hAnsi="Calibri"/>
          <w:b/>
          <w:color w:val="1E293B"/>
          <w:sz w:val="22"/>
        </w:rPr>
        <w:t xml:space="preserve">Multivariate Scatter Plot with Quadratic Trend (Figure 4A — geom_point + geom_smooth): </w:t>
      </w:r>
      <w:r>
        <w:rPr>
          <w:rFonts w:ascii="Calibri" w:hAnsi="Calibri"/>
          <w:color w:val="1E293B"/>
          <w:sz w:val="22"/>
        </w:rPr>
        <w:t>Selected to simultaneously encode four dimensions: curb weight (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>, x-axis), fuel economy (</w:t>
      </w:r>
      <w:r>
        <w:rPr>
          <w:rFonts w:ascii="Courier New" w:hAnsi="Courier New"/>
          <w:b/>
          <w:color w:val="1E3A5F"/>
          <w:sz w:val="21"/>
        </w:rPr>
        <w:t>mpg</w:t>
      </w:r>
      <w:r>
        <w:rPr>
          <w:rFonts w:ascii="Calibri" w:hAnsi="Calibri"/>
          <w:color w:val="1E293B"/>
          <w:sz w:val="22"/>
        </w:rPr>
        <w:t>, y-axis), cylinder tier (</w:t>
      </w:r>
      <w:r>
        <w:rPr>
          <w:rFonts w:ascii="Courier New" w:hAnsi="Courier New"/>
          <w:b/>
          <w:color w:val="1E3A5F"/>
          <w:sz w:val="21"/>
        </w:rPr>
        <w:t>cyl_f</w:t>
      </w:r>
      <w:r>
        <w:rPr>
          <w:rFonts w:ascii="Calibri" w:hAnsi="Calibri"/>
          <w:color w:val="1E293B"/>
          <w:sz w:val="22"/>
        </w:rPr>
        <w:t>, color hue), and gross horsepower (</w:t>
      </w:r>
      <w:r>
        <w:rPr>
          <w:rFonts w:ascii="Courier New" w:hAnsi="Courier New"/>
          <w:b/>
          <w:color w:val="1E3A5F"/>
          <w:sz w:val="21"/>
        </w:rPr>
        <w:t>hp</w:t>
      </w:r>
      <w:r>
        <w:rPr>
          <w:rFonts w:ascii="Calibri" w:hAnsi="Calibri"/>
          <w:color w:val="1E293B"/>
          <w:sz w:val="22"/>
        </w:rPr>
        <w:t xml:space="preserve">, bubble area). The chart reveals tight mechanical stratification: 4-cylinder compacts cluster in the low-weight, high-efficiency upper-left quadrant (1.51–3.19 klbs, mean 26.66 mpg, led by </w:t>
      </w:r>
      <w:r>
        <w:rPr>
          <w:rFonts w:ascii="Courier New" w:hAnsi="Courier New"/>
          <w:b/>
          <w:color w:val="1E3A5F"/>
          <w:sz w:val="21"/>
        </w:rPr>
        <w:t>Toyota Corolla</w:t>
      </w:r>
      <w:r>
        <w:rPr>
          <w:rFonts w:ascii="Calibri" w:hAnsi="Calibri"/>
          <w:color w:val="1E293B"/>
          <w:sz w:val="22"/>
        </w:rPr>
        <w:t xml:space="preserve"> at 33.90 mpg and </w:t>
      </w:r>
      <w:r>
        <w:rPr>
          <w:rFonts w:ascii="Courier New" w:hAnsi="Courier New"/>
          <w:b/>
          <w:color w:val="1E3A5F"/>
          <w:sz w:val="21"/>
        </w:rPr>
        <w:t>Fiat 128</w:t>
      </w:r>
      <w:r>
        <w:rPr>
          <w:rFonts w:ascii="Calibri" w:hAnsi="Calibri"/>
          <w:color w:val="1E293B"/>
          <w:sz w:val="22"/>
        </w:rPr>
        <w:t xml:space="preserve"> at 32.40 mpg), 6-cylinder sedans occupy the mid-weight transition zone (2.62–3.46 klbs, mean 19.74 mpg), and 8-cylinder cruisers dominate the high-mass, high-horsepower lower-right quadrant (3.17–5.42 klbs, mean 15.10 mpg).</w:t>
      </w:r>
      <w:r>
        <w:rPr>
          <w:rFonts w:ascii="Calibri" w:hAnsi="Calibri"/>
          <w:color w:val="1E293B"/>
          <w:sz w:val="22"/>
        </w:rPr>
        <w:br/>
        <w:t xml:space="preserve">2. </w:t>
      </w:r>
      <w:r>
        <w:rPr>
          <w:rFonts w:ascii="Calibri" w:hAnsi="Calibri"/>
          <w:b/>
          <w:color w:val="1E293B"/>
          <w:sz w:val="22"/>
        </w:rPr>
        <w:t xml:space="preserve">Grouped Bar Chart with 95% Confidence Error Bars (Figure 4B — geom_col + geom_errorbar): </w:t>
      </w:r>
      <w:r>
        <w:rPr>
          <w:rFonts w:ascii="Calibri" w:hAnsi="Calibri"/>
          <w:color w:val="1E293B"/>
          <w:sz w:val="22"/>
        </w:rPr>
        <w:t xml:space="preserve">Selected to communicate subgroup interactions to non-technical decision-makers. Within 4-cylinder vehicles, manual transmissions achieve 28.08 mpg (n = 8, SD = 4.48) compared to 22.90 mpg for automatics (n = 3, SD = 1.45)—a +5.18 mpg (+22.6%) efficiency advantage. In 6-cylinder vehicles, the manual advantage narrows to +1.45 mpg (20.57 vs. 19.12 mpg). In 8-cylinder vehicles, automatic (15.05 mpg, n = 12) and manual (15.40 mpg, n = 2: </w:t>
      </w:r>
      <w:r>
        <w:rPr>
          <w:rFonts w:ascii="Courier New" w:hAnsi="Courier New"/>
          <w:b/>
          <w:color w:val="1E3A5F"/>
          <w:sz w:val="21"/>
        </w:rPr>
        <w:t>Ford Pantera L</w:t>
      </w:r>
      <w:r>
        <w:rPr>
          <w:rFonts w:ascii="Calibri" w:hAnsi="Calibri"/>
          <w:color w:val="1E293B"/>
          <w:sz w:val="22"/>
        </w:rPr>
        <w:t xml:space="preserve"> at 15.8 mpg and 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 xml:space="preserve"> at 15.0 mpg) achieve nearly identical fuel economy because 8-cylinder manuals are ultra-high-output sports cars averaging 299.5 hp vs. 194.2 hp for 8-cylinder automatics.</w:t>
      </w:r>
      <w:r>
        <w:rPr>
          <w:rFonts w:ascii="Calibri" w:hAnsi="Calibri"/>
          <w:color w:val="1E293B"/>
          <w:sz w:val="22"/>
        </w:rPr>
        <w:br/>
        <w:t xml:space="preserve">3. </w:t>
      </w:r>
      <w:r>
        <w:rPr>
          <w:rFonts w:ascii="Calibri" w:hAnsi="Calibri"/>
          <w:b/>
          <w:color w:val="1E293B"/>
          <w:sz w:val="22"/>
        </w:rPr>
        <w:t xml:space="preserve">Faceted Histogram and Kernel Density Overlay (Figure 4C — geom_histogram + geom_density): </w:t>
      </w:r>
      <w:r>
        <w:rPr>
          <w:rFonts w:ascii="Calibri" w:hAnsi="Calibri"/>
          <w:color w:val="1E293B"/>
          <w:sz w:val="22"/>
        </w:rPr>
        <w:t>Selected to compare the continuous distribution of Power-to-Weight Ratio (</w:t>
      </w:r>
      <w:r>
        <w:rPr>
          <w:rFonts w:ascii="Courier New" w:hAnsi="Courier New"/>
          <w:b/>
          <w:color w:val="1E3A5F"/>
          <w:sz w:val="21"/>
        </w:rPr>
        <w:t>hp / wt</w:t>
      </w:r>
      <w:r>
        <w:rPr>
          <w:rFonts w:ascii="Calibri" w:hAnsi="Calibri"/>
          <w:color w:val="1E293B"/>
          <w:sz w:val="22"/>
        </w:rPr>
        <w:t>) across engine block geometries (</w:t>
      </w:r>
      <w:r>
        <w:rPr>
          <w:rFonts w:ascii="Courier New" w:hAnsi="Courier New"/>
          <w:b/>
          <w:color w:val="1E3A5F"/>
          <w:sz w:val="21"/>
        </w:rPr>
        <w:t>vs_f</w:t>
      </w:r>
      <w:r>
        <w:rPr>
          <w:rFonts w:ascii="Calibri" w:hAnsi="Calibri"/>
          <w:color w:val="1E293B"/>
          <w:sz w:val="22"/>
        </w:rPr>
        <w:t>). Straight inline engines (</w:t>
      </w:r>
      <w:r>
        <w:rPr>
          <w:rFonts w:ascii="Courier New" w:hAnsi="Courier New"/>
          <w:b/>
          <w:color w:val="1E3A5F"/>
          <w:sz w:val="21"/>
        </w:rPr>
        <w:t>vs = 1</w:t>
      </w:r>
      <w:r>
        <w:rPr>
          <w:rFonts w:ascii="Calibri" w:hAnsi="Calibri"/>
          <w:color w:val="1E293B"/>
          <w:sz w:val="22"/>
        </w:rPr>
        <w:t xml:space="preserve">, n = 14) concentrate tightly around a modest mean of 36.14 hp/1,000 lbs (SD = 12.28, e.g., </w:t>
      </w:r>
      <w:r>
        <w:rPr>
          <w:rFonts w:ascii="Courier New" w:hAnsi="Courier New"/>
          <w:b/>
          <w:color w:val="1E3A5F"/>
          <w:sz w:val="21"/>
        </w:rPr>
        <w:t>Merc 240D</w:t>
      </w:r>
      <w:r>
        <w:rPr>
          <w:rFonts w:ascii="Calibri" w:hAnsi="Calibri"/>
          <w:color w:val="1E293B"/>
          <w:sz w:val="22"/>
        </w:rPr>
        <w:t xml:space="preserve"> at 19.44 hp/klb), whereas V-shaped blocks (</w:t>
      </w:r>
      <w:r>
        <w:rPr>
          <w:rFonts w:ascii="Courier New" w:hAnsi="Courier New"/>
          <w:b/>
          <w:color w:val="1E3A5F"/>
          <w:sz w:val="21"/>
        </w:rPr>
        <w:t>vs = 0</w:t>
      </w:r>
      <w:r>
        <w:rPr>
          <w:rFonts w:ascii="Calibri" w:hAnsi="Calibri"/>
          <w:color w:val="1E293B"/>
          <w:sz w:val="22"/>
        </w:rPr>
        <w:t xml:space="preserve">, n = 18) exhibit a much higher mean of 53.25 hp/1,000 lbs (SD = 17.65, peaking at 93.84 hp/klb in the 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>).</w:t>
      </w:r>
      <w:r>
        <w:rPr>
          <w:rFonts w:ascii="Calibri" w:hAnsi="Calibri"/>
          <w:color w:val="1E293B"/>
          <w:sz w:val="22"/>
        </w:rPr>
        <w:br/>
        <w:t xml:space="preserve">4. </w:t>
      </w:r>
      <w:r>
        <w:rPr>
          <w:rFonts w:ascii="Calibri" w:hAnsi="Calibri"/>
          <w:b/>
          <w:color w:val="1E293B"/>
          <w:sz w:val="22"/>
        </w:rPr>
        <w:t xml:space="preserve">Dual-Axis Carburetor Trend Line Chart (Figure 4D — geom_line + geom_point): </w:t>
      </w:r>
      <w:r>
        <w:rPr>
          <w:rFonts w:ascii="Calibri" w:hAnsi="Calibri"/>
          <w:color w:val="1E293B"/>
          <w:sz w:val="22"/>
        </w:rPr>
        <w:t>Selected to illustrate the non-linear trade-off between fuel induction capacity (</w:t>
      </w:r>
      <w:r>
        <w:rPr>
          <w:rFonts w:ascii="Courier New" w:hAnsi="Courier New"/>
          <w:b/>
          <w:color w:val="1E3A5F"/>
          <w:sz w:val="21"/>
        </w:rPr>
        <w:t>carb</w:t>
      </w:r>
      <w:r>
        <w:rPr>
          <w:rFonts w:ascii="Calibri" w:hAnsi="Calibri"/>
          <w:color w:val="1E293B"/>
          <w:sz w:val="22"/>
        </w:rPr>
        <w:t xml:space="preserve"> barrels) and fuel consumption. Increasing carburetor complexity from 1 barrel (n = 7, mean = 25.34 mpg, 86.0 hp) to 2 barrels (n = 10, mean = 22.40 mpg, 117.2 hp) and 4 barrels (n = 10, mean = 15.79 mpg, 187.0 hp) produces a monotonic surge in horsepower accompanied by a 37.7% drop in fuel economy, culminating in the 8-barrel 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 xml:space="preserve"> (15.00 mpg, 335.0 hp).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Borders>
              <w:top w:val="single" w:sz="6" w:space="0" w:color="CBD5E1"/>
              <w:left w:val="single" w:sz="18" w:space="0" w:color="0D9488"/>
              <w:bottom w:val="single" w:sz="6" w:space="0" w:color="CBD5E1"/>
              <w:right w:val="single" w:sz="6" w:space="0" w:color="CBD5E1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80" w:line="252" w:lineRule="auto"/>
            </w:pPr>
            <w:r>
              <w:rPr>
                <w:rFonts w:ascii="Calibri" w:hAnsi="Calibri"/>
                <w:b/>
                <w:color w:val="1E3A5F"/>
                <w:sz w:val="21"/>
              </w:rPr>
              <w:t>R Code Excerpt 2 (Week 2 Pipeline) — Multi-Dimensional ggplot2 Visualization Suite:</w:t>
              <w:br/>
            </w:r>
            <w:r>
              <w:rPr>
                <w:rFonts w:ascii="Courier New" w:hAnsi="Courier New"/>
                <w:color w:val="1E293B"/>
                <w:sz w:val="20"/>
              </w:rPr>
              <w:t>library(ggplot2); library(dplyr)</w:t>
              <w:br/>
              <w:br/>
              <w:t># 1. Multivariate Scatter Plot (wt vs mpg, colored by cyl_f, sized by hp)</w:t>
              <w:br/>
              <w:t>p_scatter &lt;- ggplot(mtcars_clean, aes(x = wt, y = mpg, color = cyl_f, size = hp)) +</w:t>
              <w:br/>
              <w:t xml:space="preserve">  geom_point(alpha = 0.85) +</w:t>
              <w:br/>
              <w:t xml:space="preserve">  geom_smooth(aes(group = 1), method = 'lm', formula = y ~ poly(x, 2), se = TRUE, color = '#1E3A5F') +</w:t>
              <w:br/>
              <w:t xml:space="preserve">  labs(title = 'Fuel Economy vs. Curb Weight by Cylinder Class &amp; Horsepower',</w:t>
              <w:br/>
              <w:t xml:space="preserve">       x = 'Curb Weight (1,000 lbs)', y = 'Miles Per Gallon (mpg)') + theme_minimal()</w:t>
              <w:br/>
              <w:br/>
              <w:t># 2. Grouped Bar Chart of Mean MPG by Cylinder &amp; Transmission with 95% CI Error Bars</w:t>
              <w:br/>
              <w:t>cyl_am_sum &lt;- mtcars_clean %&gt;% group_by(cyl_f, am_f) %&gt;%</w:t>
              <w:br/>
              <w:t xml:space="preserve">  summarise(n = n(), mean_mpg = mean(mpg), se_mpg = sd(mpg)/sqrt(n()), .groups = 'drop')</w:t>
              <w:br/>
              <w:t>p_bar &lt;- ggplot(cyl_am_sum, aes(x = cyl_f, y = mean_mpg, fill = am_f)) +</w:t>
              <w:br/>
              <w:t xml:space="preserve">  geom_col(position = position_dodge(0.7), width = 0.6) +</w:t>
              <w:br/>
              <w:t xml:space="preserve">  geom_errorbar(aes(ymin = mean_mpg - 1.96*se_mpg, ymax = mean_mpg + 1.96*se_mpg),</w:t>
              <w:br/>
              <w:t xml:space="preserve">                position = position_dodge(0.7), width = 0.2) + theme_minimal()</w:t>
            </w:r>
          </w:p>
        </w:tc>
      </w:tr>
    </w:tbl>
    <w:p>
      <w:pPr>
        <w:spacing w:before="0" w:after="8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49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shot2_ggplot_conso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3 (R Console Output — Week 2 Integration): Execution of dplyr subgroup aggregation across cylinder and transmission tiers and derived efficiency ratios.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fig2_ggplot_multidi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4 (Week 2 Multi-Dimensional ggplot2 Gallery): (A) Multivariate scatter plot with quadratic fit; (B) Grouped bar chart of MPG by cylinder and transmission; (C) Power-to-weight density histogram by engine block; (D) Dual-axis carburetor trend line chart.</w:t>
      </w: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4. Statistical Hypothesis Testing and Predictive Modeling Analysis (Week 3 Integration)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4.1 Formal Hypothesis Testing Synthesis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In Week 3, visual patterns observed during exploratory visualization were subjected to formal parametric and non-parametric hypothesis testing at the alpha = 0.05 significance level: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Normality Auditing (stats::shapiro.test): </w:t>
      </w:r>
      <w:r>
        <w:rPr>
          <w:rFonts w:ascii="Calibri" w:hAnsi="Calibri"/>
          <w:color w:val="1E293B"/>
          <w:sz w:val="22"/>
        </w:rPr>
        <w:t xml:space="preserve">Retained univariate Gaussian normality for </w:t>
      </w:r>
      <w:r>
        <w:rPr>
          <w:rFonts w:ascii="Courier New" w:hAnsi="Courier New"/>
          <w:b/>
          <w:color w:val="1E3A5F"/>
          <w:sz w:val="21"/>
        </w:rPr>
        <w:t>mpg</w:t>
      </w:r>
      <w:r>
        <w:rPr>
          <w:rFonts w:ascii="Calibri" w:hAnsi="Calibri"/>
          <w:color w:val="1E293B"/>
          <w:sz w:val="22"/>
        </w:rPr>
        <w:t xml:space="preserve"> (W = 0.9476, p = 0.1229), </w:t>
      </w:r>
      <w:r>
        <w:rPr>
          <w:rFonts w:ascii="Courier New" w:hAnsi="Courier New"/>
          <w:b/>
          <w:color w:val="1E3A5F"/>
          <w:sz w:val="21"/>
        </w:rPr>
        <w:t>qsec</w:t>
      </w:r>
      <w:r>
        <w:rPr>
          <w:rFonts w:ascii="Calibri" w:hAnsi="Calibri"/>
          <w:color w:val="1E293B"/>
          <w:sz w:val="22"/>
        </w:rPr>
        <w:t xml:space="preserve"> (W = 0.9733, p = 0.5935), </w:t>
      </w:r>
      <w:r>
        <w:rPr>
          <w:rFonts w:ascii="Courier New" w:hAnsi="Courier New"/>
          <w:b/>
          <w:color w:val="1E3A5F"/>
          <w:sz w:val="21"/>
        </w:rPr>
        <w:t>drat</w:t>
      </w:r>
      <w:r>
        <w:rPr>
          <w:rFonts w:ascii="Calibri" w:hAnsi="Calibri"/>
          <w:color w:val="1E293B"/>
          <w:sz w:val="22"/>
        </w:rPr>
        <w:t xml:space="preserve"> (W = 0.9459, p = 0.1101), and 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 xml:space="preserve"> (W = 0.9433, p = 0.0927), while identifying statistically significant departures in 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 xml:space="preserve"> (W = 0.9200, p = 0.0208) and </w:t>
      </w:r>
      <w:r>
        <w:rPr>
          <w:rFonts w:ascii="Courier New" w:hAnsi="Courier New"/>
          <w:b/>
          <w:color w:val="1E3A5F"/>
          <w:sz w:val="21"/>
        </w:rPr>
        <w:t>hp</w:t>
      </w:r>
      <w:r>
        <w:rPr>
          <w:rFonts w:ascii="Calibri" w:hAnsi="Calibri"/>
          <w:color w:val="1E293B"/>
          <w:sz w:val="22"/>
        </w:rPr>
        <w:t xml:space="preserve"> (W = 0.9334, p = 0.0488).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Bivariate Correlation Matrix (stats::cor.test — Figure 5): </w:t>
      </w:r>
      <w:r>
        <w:rPr>
          <w:rFonts w:ascii="Calibri" w:hAnsi="Calibri"/>
          <w:color w:val="1E293B"/>
          <w:sz w:val="22"/>
        </w:rPr>
        <w:t xml:space="preserve">Confirmed that 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 xml:space="preserve"> (Pearson r = -0.8677, 95% CI [-0.9338, -0.7441], t = -9.5590, p = 1.294e-10; Spearman rho = -0.8864), </w:t>
      </w:r>
      <w:r>
        <w:rPr>
          <w:rFonts w:ascii="Courier New" w:hAnsi="Courier New"/>
          <w:b/>
          <w:color w:val="1E3A5F"/>
          <w:sz w:val="21"/>
        </w:rPr>
        <w:t>cyl</w:t>
      </w:r>
      <w:r>
        <w:rPr>
          <w:rFonts w:ascii="Calibri" w:hAnsi="Calibri"/>
          <w:color w:val="1E293B"/>
          <w:sz w:val="22"/>
        </w:rPr>
        <w:t xml:space="preserve"> (r = -0.8522, p = 6.113e-10; rho = -0.9108), 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 xml:space="preserve"> (r = -0.8476, p = 9.380e-10; rho = -0.9089), and </w:t>
      </w:r>
      <w:r>
        <w:rPr>
          <w:rFonts w:ascii="Courier New" w:hAnsi="Courier New"/>
          <w:b/>
          <w:color w:val="1E3A5F"/>
          <w:sz w:val="21"/>
        </w:rPr>
        <w:t>hp</w:t>
      </w:r>
      <w:r>
        <w:rPr>
          <w:rFonts w:ascii="Calibri" w:hAnsi="Calibri"/>
          <w:color w:val="1E293B"/>
          <w:sz w:val="22"/>
        </w:rPr>
        <w:t xml:space="preserve"> (r = -0.7762, p = 1.788e-07; rho = -0.8947) are the strongest negative correlates of </w:t>
      </w:r>
      <w:r>
        <w:rPr>
          <w:rFonts w:ascii="Courier New" w:hAnsi="Courier New"/>
          <w:b/>
          <w:color w:val="1E3A5F"/>
          <w:sz w:val="21"/>
        </w:rPr>
        <w:t>mpg</w:t>
      </w:r>
      <w:r>
        <w:rPr>
          <w:rFonts w:ascii="Calibri" w:hAnsi="Calibri"/>
          <w:color w:val="1E293B"/>
          <w:sz w:val="22"/>
        </w:rPr>
        <w:t xml:space="preserve">, whereas </w:t>
      </w:r>
      <w:r>
        <w:rPr>
          <w:rFonts w:ascii="Courier New" w:hAnsi="Courier New"/>
          <w:b/>
          <w:color w:val="1E3A5F"/>
          <w:sz w:val="21"/>
        </w:rPr>
        <w:t>drat</w:t>
      </w:r>
      <w:r>
        <w:rPr>
          <w:rFonts w:ascii="Calibri" w:hAnsi="Calibri"/>
          <w:color w:val="1E293B"/>
          <w:sz w:val="22"/>
        </w:rPr>
        <w:t xml:space="preserve"> (r = +0.6812, p = 1.776e-05), </w:t>
      </w:r>
      <w:r>
        <w:rPr>
          <w:rFonts w:ascii="Courier New" w:hAnsi="Courier New"/>
          <w:b/>
          <w:color w:val="1E3A5F"/>
          <w:sz w:val="21"/>
        </w:rPr>
        <w:t>vs</w:t>
      </w:r>
      <w:r>
        <w:rPr>
          <w:rFonts w:ascii="Calibri" w:hAnsi="Calibri"/>
          <w:color w:val="1E293B"/>
          <w:sz w:val="22"/>
        </w:rPr>
        <w:t xml:space="preserve"> (r = +0.6640, p = 3.416e-05), and </w:t>
      </w:r>
      <w:r>
        <w:rPr>
          <w:rFonts w:ascii="Courier New" w:hAnsi="Courier New"/>
          <w:b/>
          <w:color w:val="1E3A5F"/>
          <w:sz w:val="21"/>
        </w:rPr>
        <w:t>am</w:t>
      </w:r>
      <w:r>
        <w:rPr>
          <w:rFonts w:ascii="Calibri" w:hAnsi="Calibri"/>
          <w:color w:val="1E293B"/>
          <w:sz w:val="22"/>
        </w:rPr>
        <w:t xml:space="preserve"> (r = +0.5998, p = 2.850e-04) correlate positively with fuel efficiency.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Transmission Regime Test (Welch t-Test &amp; Mann-Whitney U): </w:t>
      </w:r>
      <w:r>
        <w:rPr>
          <w:rFonts w:ascii="Calibri" w:hAnsi="Calibri"/>
          <w:color w:val="1E293B"/>
          <w:sz w:val="22"/>
        </w:rPr>
        <w:t>Rejected equal mean fuel efficiency between automatic (17.1474 mpg, n = 19) and manual (24.3923 mpg, n = 13) transmissions with Welch t = -3.7671 (df = 18.332, p = 0.001374, 95% CI for difference [-11.2802, -3.2097] mpg) and Mann-Whitney U = 42.0 (p = 0.001871).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Cylinder Tier Analysis (One-Way ANOVA, Kruskal-Wallis &amp; Tukey HSD): </w:t>
      </w:r>
      <w:r>
        <w:rPr>
          <w:rFonts w:ascii="Calibri" w:hAnsi="Calibri"/>
          <w:color w:val="1E293B"/>
          <w:sz w:val="22"/>
        </w:rPr>
        <w:t>Rejected equal means across 4-, 6-, and 8-cylinder engines with F(2, 29) = 39.6975 (p = 4.979e-09, eta^2 = 0.7325) and Kruskal-Wallis chi^2(2) = 25.7462 (p = 2.566e-06). Tukey HSD confirmed significant pairwise separation across all three comparisons: 6-cyl vs. 4-cyl (-6.9208 mpg, p_adj = 0.000342), 8-cyl vs. 4-cyl (-11.5636 mpg, p_adj = 2.544e-09), and 8-cyl vs. 6-cyl (-4.6429 mpg, p_adj = 0.01123).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Powertrain Contingency Independence (Chi-Square &amp; Fisher Exact): </w:t>
      </w:r>
      <w:r>
        <w:rPr>
          <w:rFonts w:ascii="Calibri" w:hAnsi="Calibri"/>
          <w:color w:val="1E293B"/>
          <w:sz w:val="22"/>
        </w:rPr>
        <w:t>Found no statistically significant association between engine block shape (</w:t>
      </w:r>
      <w:r>
        <w:rPr>
          <w:rFonts w:ascii="Courier New" w:hAnsi="Courier New"/>
          <w:b/>
          <w:color w:val="1E3A5F"/>
          <w:sz w:val="21"/>
        </w:rPr>
        <w:t>vs</w:t>
      </w:r>
      <w:r>
        <w:rPr>
          <w:rFonts w:ascii="Calibri" w:hAnsi="Calibri"/>
          <w:color w:val="1E293B"/>
          <w:sz w:val="22"/>
        </w:rPr>
        <w:t>) and transmission type (</w:t>
      </w:r>
      <w:r>
        <w:rPr>
          <w:rFonts w:ascii="Courier New" w:hAnsi="Courier New"/>
          <w:b/>
          <w:color w:val="1E3A5F"/>
          <w:sz w:val="21"/>
        </w:rPr>
        <w:t>am</w:t>
      </w:r>
      <w:r>
        <w:rPr>
          <w:rFonts w:ascii="Calibri" w:hAnsi="Calibri"/>
          <w:color w:val="1E293B"/>
          <w:sz w:val="22"/>
        </w:rPr>
        <w:t>) with Yates' chi^2(1) = 0.3475 (p = 0.5555) and Fisher's Exact OR = 2.0000 (p = 0.4727).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189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rrelation_heat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8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5 (Week 3 Correlation Matrix): Complete 11x11 Pearson correlation heatmap across mtcars features with significance stars (* p &lt; 0.05, ** p &lt; 0.01, *** p &lt; 0.001).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4.2 Continuous Regression Modeling and Physical Interaction Formulation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To predict </w:t>
      </w:r>
      <w:r>
        <w:rPr>
          <w:rFonts w:ascii="Courier New" w:hAnsi="Courier New"/>
          <w:b/>
          <w:color w:val="1E3A5F"/>
          <w:sz w:val="21"/>
        </w:rPr>
        <w:t>mpg</w:t>
      </w:r>
      <w:r>
        <w:rPr>
          <w:rFonts w:ascii="Calibri" w:hAnsi="Calibri"/>
          <w:color w:val="1E293B"/>
          <w:sz w:val="22"/>
        </w:rPr>
        <w:t xml:space="preserve"> accurately while resolving severe inter-predictor collinearity (</w:t>
      </w:r>
      <w:r>
        <w:rPr>
          <w:rFonts w:ascii="Courier New" w:hAnsi="Courier New"/>
          <w:b/>
          <w:color w:val="1E3A5F"/>
          <w:sz w:val="21"/>
        </w:rPr>
        <w:t>cyl</w:t>
      </w:r>
      <w:r>
        <w:rPr>
          <w:rFonts w:ascii="Calibri" w:hAnsi="Calibri"/>
          <w:color w:val="1E293B"/>
          <w:sz w:val="22"/>
        </w:rPr>
        <w:t>–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 xml:space="preserve"> r = 0.9020; 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>–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 xml:space="preserve"> r = 0.8880), five regression specifications were estimated: </w:t>
      </w:r>
      <w:r>
        <w:rPr>
          <w:rFonts w:ascii="Calibri" w:hAnsi="Calibri"/>
          <w:b/>
          <w:color w:val="1E293B"/>
          <w:sz w:val="22"/>
        </w:rPr>
        <w:t>Model 1 (Full 10-Predictor OLS)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1E293B"/>
          <w:sz w:val="22"/>
        </w:rPr>
        <w:t>Model 2 (Stepwise AIC Selected: mpg ~ wt + qsec + am)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1E293B"/>
          <w:sz w:val="22"/>
        </w:rPr>
        <w:t>Model 3 (Horsepower Specification: mpg ~ wt + hp + am)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1E293B"/>
          <w:sz w:val="22"/>
        </w:rPr>
        <w:t>Model 4 (Weight × Transmission Interaction: mpg ~ wt * am + qsec)</w:t>
      </w:r>
      <w:r>
        <w:rPr>
          <w:rFonts w:ascii="Calibri" w:hAnsi="Calibri"/>
          <w:color w:val="1E293B"/>
          <w:sz w:val="22"/>
        </w:rPr>
        <w:t xml:space="preserve">, and </w:t>
      </w:r>
      <w:r>
        <w:rPr>
          <w:rFonts w:ascii="Calibri" w:hAnsi="Calibri"/>
          <w:b/>
          <w:color w:val="1E293B"/>
          <w:sz w:val="22"/>
        </w:rPr>
        <w:t>Model 5 (L2 Ridge Penalized Regression: glmnet, alpha = 0, lambda = 2.5)</w:t>
      </w:r>
      <w:r>
        <w:rPr>
          <w:rFonts w:ascii="Calibri" w:hAnsi="Calibri"/>
          <w:color w:val="1E293B"/>
          <w:sz w:val="22"/>
        </w:rPr>
        <w:t>. In Model 1, severe multicollinearity inflates Variance Inflation Factors (</w:t>
      </w:r>
      <w:hyperlink r:id="rId32">
        <w:r>
          <w:rPr>
            <w:rFonts w:ascii="Calibri" w:hAnsi="Calibri"/>
            <w:sz w:val="22"/>
            <w:color w:val="0284C7"/>
            <w:u w:val="single"/>
          </w:rPr>
          <w:t>car::vif</w:t>
        </w:r>
      </w:hyperlink>
      <w:r>
        <w:rPr>
          <w:rFonts w:ascii="Calibri" w:hAnsi="Calibri"/>
          <w:color w:val="1E293B"/>
          <w:sz w:val="22"/>
        </w:rPr>
        <w:t xml:space="preserve">) to 21.62 on 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 xml:space="preserve">, 15.37 on </w:t>
      </w:r>
      <w:r>
        <w:rPr>
          <w:rFonts w:ascii="Courier New" w:hAnsi="Courier New"/>
          <w:b/>
          <w:color w:val="1E3A5F"/>
          <w:sz w:val="21"/>
        </w:rPr>
        <w:t>cyl</w:t>
      </w:r>
      <w:r>
        <w:rPr>
          <w:rFonts w:ascii="Calibri" w:hAnsi="Calibri"/>
          <w:color w:val="1E293B"/>
          <w:sz w:val="22"/>
        </w:rPr>
        <w:t xml:space="preserve">, and 15.17 on 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 xml:space="preserve">, rendering every individual coefficient statistically insignificant (all p &gt;= 0.0633). Bidirectional AIC pruning (Model 2) eliminates the 7 redundant predictors without loss of explanatory power (nested ANOVA F(7, 21) = 0.4432, p = 0.8636) and lowers all VIFs below 2.55. Incorporating the </w:t>
      </w:r>
      <w:r>
        <w:rPr>
          <w:rFonts w:ascii="Courier New" w:hAnsi="Courier New"/>
          <w:b/>
          <w:color w:val="1E3A5F"/>
          <w:sz w:val="21"/>
        </w:rPr>
        <w:t>wt:am</w:t>
      </w:r>
      <w:r>
        <w:rPr>
          <w:rFonts w:ascii="Calibri" w:hAnsi="Calibri"/>
          <w:color w:val="1E293B"/>
          <w:sz w:val="22"/>
        </w:rPr>
        <w:t xml:space="preserve"> interaction term in </w:t>
      </w:r>
      <w:r>
        <w:rPr>
          <w:rFonts w:ascii="Calibri" w:hAnsi="Calibri"/>
          <w:b/>
          <w:color w:val="1E293B"/>
          <w:sz w:val="22"/>
        </w:rPr>
        <w:t>Model 4</w:t>
      </w:r>
      <w:r>
        <w:rPr>
          <w:rFonts w:ascii="Calibri" w:hAnsi="Calibri"/>
          <w:color w:val="1E293B"/>
          <w:sz w:val="22"/>
        </w:rPr>
        <w:t xml:space="preserve"> yields a highly significant slope differential (beta_{wt:am} = -4.1414, SE = 1.1968, t = -3.4603, p = 0.001809; nested ANOVA F(1, 27) = 11.9740, p = 0.001809), raising Multiple R^2 to 0.8959 and Adjusted R^2 to 0.8804: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Automatic Vehicles (am = 0): </w:t>
      </w:r>
      <w:r>
        <w:rPr>
          <w:rFonts w:ascii="Courier New" w:hAnsi="Courier New"/>
          <w:b/>
          <w:color w:val="1E3A5F"/>
          <w:sz w:val="21"/>
        </w:rPr>
        <w:t>mpg_hat = 9.7231 - 2.9365(wt) + 1.0170(qsec)</w:t>
      </w:r>
      <w:r>
        <w:rPr>
          <w:rFonts w:ascii="Calibri" w:hAnsi="Calibri"/>
          <w:color w:val="1E293B"/>
          <w:sz w:val="22"/>
        </w:rPr>
        <w:t xml:space="preserve"> (mass penalty = -2.94 mpg per 1,000 lbs).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Manual Vehicles (am = 1): </w:t>
      </w:r>
      <w:r>
        <w:rPr>
          <w:rFonts w:ascii="Courier New" w:hAnsi="Courier New"/>
          <w:b/>
          <w:color w:val="1E3A5F"/>
          <w:sz w:val="21"/>
        </w:rPr>
        <w:t>mpg_hat = 23.8025 - 7.0779(wt) + 1.0170(qsec)</w:t>
      </w:r>
      <w:r>
        <w:rPr>
          <w:rFonts w:ascii="Calibri" w:hAnsi="Calibri"/>
          <w:color w:val="1E293B"/>
          <w:sz w:val="22"/>
        </w:rPr>
        <w:t xml:space="preserve"> (mass penalty = -7.08 mpg per 1,000 lbs; crossover weight = 3,400 lbs).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4.3 Binomial Generalized Linear Modeling for Powertrain Classification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For binary classification, two logistic regression models (</w:t>
      </w:r>
      <w:hyperlink r:id="rId24">
        <w:r>
          <w:rPr>
            <w:rFonts w:ascii="Calibri" w:hAnsi="Calibri"/>
            <w:sz w:val="22"/>
            <w:color w:val="0284C7"/>
            <w:u w:val="single"/>
          </w:rPr>
          <w:t>stats::glm(family = binomial(link = 'logit'))</w:t>
        </w:r>
      </w:hyperlink>
      <w:r>
        <w:rPr>
          <w:rFonts w:ascii="Calibri" w:hAnsi="Calibri"/>
          <w:color w:val="1E293B"/>
          <w:sz w:val="22"/>
        </w:rPr>
        <w:t xml:space="preserve">) were estimated via Iteratively Reweighted Least Squares (IRLS): </w:t>
      </w:r>
      <w:r>
        <w:rPr>
          <w:rFonts w:ascii="Calibri" w:hAnsi="Calibri"/>
          <w:b/>
          <w:color w:val="1E293B"/>
          <w:sz w:val="22"/>
        </w:rPr>
        <w:t>GLM 1 (am ~ mpg + qsec)</w:t>
      </w:r>
      <w:r>
        <w:rPr>
          <w:rFonts w:ascii="Calibri" w:hAnsi="Calibri"/>
          <w:color w:val="1E293B"/>
          <w:sz w:val="22"/>
        </w:rPr>
        <w:t xml:space="preserve"> and </w:t>
      </w:r>
      <w:r>
        <w:rPr>
          <w:rFonts w:ascii="Calibri" w:hAnsi="Calibri"/>
          <w:b/>
          <w:color w:val="1E293B"/>
          <w:sz w:val="22"/>
        </w:rPr>
        <w:t>GLM 2 (vs ~ wt + hp)</w:t>
      </w:r>
      <w:r>
        <w:rPr>
          <w:rFonts w:ascii="Calibri" w:hAnsi="Calibri"/>
          <w:color w:val="1E293B"/>
          <w:sz w:val="22"/>
        </w:rPr>
        <w:t xml:space="preserve">. GLM 1 reduces binomial deviance from 43.230 (df = 31) to 7.504 (df = 29; Likelihood Ratio Test chi^2(2) = 35.726, p = 1.747e-08, AIC = 13.504), with each +1 mpg increase multiplying the odds of a manual transmission by exp(2.2127) = 9.1408 (holding </w:t>
      </w:r>
      <w:r>
        <w:rPr>
          <w:rFonts w:ascii="Courier New" w:hAnsi="Courier New"/>
          <w:b/>
          <w:color w:val="1E3A5F"/>
          <w:sz w:val="21"/>
        </w:rPr>
        <w:t>qsec</w:t>
      </w:r>
      <w:r>
        <w:rPr>
          <w:rFonts w:ascii="Calibri" w:hAnsi="Calibri"/>
          <w:color w:val="1E293B"/>
          <w:sz w:val="22"/>
        </w:rPr>
        <w:t xml:space="preserve"> constant). GLM 2 reduces deviance from 43.860 to 16.109 (LRT chi^2(2) = 27.751, p = 9.418e-07, AIC = 22.109), with gross horsepower acting as a significant negative predictor of a straight inline block (beta_hp = -0.0853, SE = 0.0360, Wald z = -2.3693, p = 0.0178, Odds Ratio = 0.9182 per hp).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873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shot3_modeling_conso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7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6 (R Console Output — Week 3 &amp; 4 Integration): Execution of hypothesis tests, interaction OLS regression (mpg ~ wt * am + qsec), LOOCV validation, and binomial GLM classification.</w:t>
      </w: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5. Integrated Results, Model Diagnostics, and Cross-Validation Performance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Table 3 consolidates the in-sample fit, 10-Fold Cross-Validation (</w:t>
      </w:r>
      <w:r>
        <w:rPr>
          <w:rFonts w:ascii="Courier New" w:hAnsi="Courier New"/>
          <w:b/>
          <w:color w:val="1E3A5F"/>
          <w:sz w:val="21"/>
        </w:rPr>
        <w:t>set.seed(42)</w:t>
      </w:r>
      <w:r>
        <w:rPr>
          <w:rFonts w:ascii="Calibri" w:hAnsi="Calibri"/>
          <w:color w:val="1E293B"/>
          <w:sz w:val="22"/>
        </w:rPr>
        <w:t>), Leave-One-Out Cross-Validation (LOOCV), and formal diagnostic audit results across all seven predictive models developed during the internship.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E3A5F"/>
          <w:bottom w:val="single" w:sz="8" w:space="0" w:color="1E3A5F"/>
          <w:insideH w:val="single" w:sz="4" w:space="0" w:color="CBD5E1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  <w:cantSplit/>
        </w:trPr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Model ID &amp; Formula</w:t>
            </w:r>
          </w:p>
        </w:tc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Task Type</w:t>
            </w:r>
          </w:p>
        </w:tc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In-Sample R2 / Acc</w:t>
            </w:r>
          </w:p>
        </w:tc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Adj. R2 / AIC</w:t>
            </w:r>
          </w:p>
        </w:tc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10-Fold CV Metric</w:t>
            </w:r>
          </w:p>
        </w:tc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LOOCV Primary Metric</w:t>
            </w:r>
          </w:p>
        </w:tc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LOOCV R2 / AUC</w:t>
            </w:r>
          </w:p>
        </w:tc>
        <w:tc>
          <w:tcPr>
            <w:tcW w:type="dxa" w:w="1170"/>
            <w:vAlign w:val="center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Diagnostic Verification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M1: lm(mpg ~ .)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Regression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0.8690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Adj R2 = 0.8066</w:t>
              <w:br/>
              <w:t>AIC = 163.71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3.3440 mpg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3.4902 mpg</w:t>
              <w:br/>
              <w:t>MAE = 2.7438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0.6538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Severe Collinearity (Max VIF = 21.62)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M2: lm(mpg ~ wt+qsec+am)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Regression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0.8497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Adj R2 = 0.8336</w:t>
              <w:br/>
              <w:t>AIC = 154.12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2.5967 mpg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2.6885 mpg</w:t>
              <w:br/>
              <w:t>MAE = 2.2314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0.7946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All VIF &lt;= 2.54; SW p=0.080; BP p=0.103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M3: lm(mpg ~ wt+hp+am)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Regression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0.8399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Adj R2 = 0.8227</w:t>
              <w:br/>
              <w:t>AIC = 156.13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2.6782 mpg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2.7322 mpg</w:t>
              <w:br/>
              <w:t>MAE = 2.2013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0.7879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All VIF &lt;= 3.78; SW p=0.106; BP p=0.137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M4: lm(mpg ~ wt*am+qsec)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Regression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0.8959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Adj R2 = 0.8804</w:t>
              <w:br/>
              <w:t>AIC = 144.37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2.2587 mpg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2.2704 mpg</w:t>
              <w:br/>
              <w:t>MAE = 1.8822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0.8535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Optimal Fit: SW p=0.100; BP p=0.264; Max D=0.23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M5: glmnet Ridge (lam=2.5)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Regression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0.8619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2.2041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2.8257 mpg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RMSE = 2.8910 mpg</w:t>
              <w:br/>
              <w:t>MAE = 2.3781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R2 = 0.7625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Shrinks 10-var variance; -17.2% LOOCV error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GLM 1: glm(am ~ mpg+qsec)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Binomial GLM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Acc = 93.75%</w:t>
              <w:br/>
              <w:t>AUC = 0.9879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AIC = 13.504</w:t>
              <w:br/>
              <w:t>Dev = 7.504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Acc = 90.62%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Acc = 90.62%</w:t>
              <w:br/>
              <w:t>F1 = 0.8889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AUC = 0.9069</w:t>
              <w:br/>
              <w:t>Kappa = 0.808</w:t>
            </w:r>
          </w:p>
        </w:tc>
        <w:tc>
          <w:tcPr>
            <w:tcW w:type="dxa" w:w="1170"/>
            <w:vAlign w:val="center"/>
            <w:shd w:fill="F1F5F9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TP=12, TN=17, FP=2, FN=1; LRT p=1.75e-08</w:t>
            </w:r>
          </w:p>
        </w:tc>
      </w:tr>
      <w:tr>
        <w:trPr>
          <w:cantSplit/>
        </w:trPr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1E293B"/>
                <w:sz w:val="20"/>
              </w:rPr>
              <w:t>GLM 2: glm(vs ~ wt+hp)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Binomial GLM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Acc = 87.50%</w:t>
              <w:br/>
              <w:t>AUC = 0.9484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AIC = 22.109</w:t>
              <w:br/>
              <w:t>Dev = 16.109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Acc = 87.50%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Acc = 87.50%</w:t>
              <w:br/>
              <w:t>F1 = 0.8667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AUC = 0.8690</w:t>
              <w:br/>
              <w:t>Kappa = 0.750</w:t>
            </w:r>
          </w:p>
        </w:tc>
        <w:tc>
          <w:tcPr>
            <w:tcW w:type="dxa" w:w="1170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TP=13, TN=15, FP=3, FN=1; LRT p=9.42e-07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Gauss-Markov &amp; Classification Diagnostic Verification (Figure 7 and Figure 8): </w:t>
      </w:r>
      <w:r>
        <w:rPr>
          <w:rFonts w:ascii="Calibri" w:hAnsi="Calibri"/>
          <w:color w:val="1E293B"/>
          <w:sz w:val="22"/>
        </w:rPr>
        <w:t>As shown in Figure 7, the optimal interaction regression model (</w:t>
      </w:r>
      <w:r>
        <w:rPr>
          <w:rFonts w:ascii="Courier New" w:hAnsi="Courier New"/>
          <w:b/>
          <w:color w:val="1E3A5F"/>
          <w:sz w:val="21"/>
        </w:rPr>
        <w:t>Model 4: mpg ~ wt * am + qsec</w:t>
      </w:r>
      <w:r>
        <w:rPr>
          <w:rFonts w:ascii="Calibri" w:hAnsi="Calibri"/>
          <w:color w:val="1E293B"/>
          <w:sz w:val="22"/>
        </w:rPr>
        <w:t>) satisfies all classical linear model assumptions: residuals exhibit zero conditional mean without quadratic curvature (Panel 1), retain Gaussian normality under the Shapiro-Wilk test (W = 0.9444, p = 0.1001 &gt; 0.05, Panel 2), maintain homoscedastic error variance under the Studentized Breusch-Pagan test (</w:t>
      </w:r>
      <w:hyperlink r:id="rId34">
        <w:r>
          <w:rPr>
            <w:rFonts w:ascii="Calibri" w:hAnsi="Calibri"/>
            <w:sz w:val="22"/>
            <w:color w:val="0284C7"/>
            <w:u w:val="single"/>
          </w:rPr>
          <w:t>lmtest::bptest</w:t>
        </w:r>
      </w:hyperlink>
      <w:r>
        <w:rPr>
          <w:rFonts w:ascii="Calibri" w:hAnsi="Calibri"/>
          <w:color w:val="1E293B"/>
          <w:sz w:val="22"/>
        </w:rPr>
        <w:t xml:space="preserve">: BP = 5.2379, df = 4, p = 0.2637, Panel 3), exhibit no serial correlation (Durbin-Watson DW = 2.2775), and bound all 32 vehicles well inside the Cook's Distance D = 0.50 influence threshold (maximum Cook's D = 0.2251 on </w:t>
      </w:r>
      <w:r>
        <w:rPr>
          <w:rFonts w:ascii="Courier New" w:hAnsi="Courier New"/>
          <w:b/>
          <w:color w:val="1E3A5F"/>
          <w:sz w:val="21"/>
        </w:rPr>
        <w:t>Chrysler Imperial</w:t>
      </w:r>
      <w:r>
        <w:rPr>
          <w:rFonts w:ascii="Calibri" w:hAnsi="Calibri"/>
          <w:color w:val="1E293B"/>
          <w:sz w:val="22"/>
        </w:rPr>
        <w:t xml:space="preserve">, 0.1488 on </w:t>
      </w:r>
      <w:r>
        <w:rPr>
          <w:rFonts w:ascii="Courier New" w:hAnsi="Courier New"/>
          <w:b/>
          <w:color w:val="1E3A5F"/>
          <w:sz w:val="21"/>
        </w:rPr>
        <w:t>Fiat 128</w:t>
      </w:r>
      <w:r>
        <w:rPr>
          <w:rFonts w:ascii="Calibri" w:hAnsi="Calibri"/>
          <w:color w:val="1E293B"/>
          <w:sz w:val="22"/>
        </w:rPr>
        <w:t xml:space="preserve">, and 0.1152 on 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 xml:space="preserve">, Panel 4). In the classification domain (Figure 8), </w:t>
      </w:r>
      <w:r>
        <w:rPr>
          <w:rFonts w:ascii="Courier New" w:hAnsi="Courier New"/>
          <w:b/>
          <w:color w:val="1E3A5F"/>
          <w:sz w:val="21"/>
        </w:rPr>
        <w:t>GLM 1 (am ~ mpg + qsec)</w:t>
      </w:r>
      <w:r>
        <w:rPr>
          <w:rFonts w:ascii="Calibri" w:hAnsi="Calibri"/>
          <w:color w:val="1E293B"/>
          <w:sz w:val="22"/>
        </w:rPr>
        <w:t xml:space="preserve"> correctly classifies 29 of 32 vehicles under Leave-One-Out Cross-Validation (TN = 17/19 automatics, Specificity = 89.47%; TP = 12/13 manuals, Sensitivity = 92.31%; Overall Accuracy = 90.62%, F1 = 0.8889, Cohen's Kappa = 0.8080, LOOCV ROC-AUC = 0.9069), while </w:t>
      </w:r>
      <w:r>
        <w:rPr>
          <w:rFonts w:ascii="Courier New" w:hAnsi="Courier New"/>
          <w:b/>
          <w:color w:val="1E3A5F"/>
          <w:sz w:val="21"/>
        </w:rPr>
        <w:t>GLM 2 (vs ~ wt + hp)</w:t>
      </w:r>
      <w:r>
        <w:rPr>
          <w:rFonts w:ascii="Calibri" w:hAnsi="Calibri"/>
          <w:color w:val="1E293B"/>
          <w:sz w:val="22"/>
        </w:rPr>
        <w:t xml:space="preserve"> correctly classifies 28 of 32 vehicles under LOOCV (Accuracy = 87.50%, Sensitivity = 92.86%, Specificity = 83.33%, F1 = 0.8667, Kappa = 0.7500, LOOCV ROC-AUC = 0.8690).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55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m_diagnostic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55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7 (Week 3 Gauss-Markov Diagnostic Suite): Four-panel residual diagnostics for optimal Model 4 (mpg ~ wt * am + qsec) — (1) Residuals vs. Fitted, (2) Normal Q-Q, (3) Scale-Location, and (4) Residuals vs. Leverage with Cook's Distance contours.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302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lassification_diagnostic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3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8 (Week 3 Classification Diagnostics): (A) LOOCV Confusion Matrix for Transmission Classifier glm(am ~ mpg + qsec); (B) Receiver Operating Characteristic (ROC) curves and AUC scores (pROC) for both Binomial GLM classifiers.</w:t>
      </w: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6. Discussion and Business Impacts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A central requirement of senior data analytics is translating statistical parameters into concrete operational, engineering, and financial impacts for executive decision-makers. Using our validated interaction model (</w:t>
      </w:r>
      <w:r>
        <w:rPr>
          <w:rFonts w:ascii="Courier New" w:hAnsi="Courier New"/>
          <w:b/>
          <w:color w:val="1E3A5F"/>
          <w:sz w:val="21"/>
        </w:rPr>
        <w:t>Model 4</w:t>
      </w:r>
      <w:r>
        <w:rPr>
          <w:rFonts w:ascii="Calibri" w:hAnsi="Calibri"/>
          <w:color w:val="1E293B"/>
          <w:sz w:val="22"/>
        </w:rPr>
        <w:t>) and subgroup aggregation tables, we quantified three strategic business and engineering impacts (illustrated in Figure 9):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1. Automotive R&amp;D Lightweighting ROI (Mass-Reduction Dividend): </w:t>
      </w:r>
      <w:r>
        <w:rPr>
          <w:rFonts w:ascii="Calibri" w:hAnsi="Calibri"/>
          <w:color w:val="1E293B"/>
          <w:sz w:val="22"/>
        </w:rPr>
        <w:t>Because the marginal fuel penalty of vehicle weight is -2.9365 mpg per 1,000 lbs in automatics and -7.0779 mpg per 1,000 lbs in manuals, a 10% structural curb-weight reduction via high-strength aluminum or composite body panels yields highly asymmetric efficiency gains across vehicle platforms (Figure 9A):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Compact Manual Platform (e.g., Honda Civic / Fiat 128, mean wt = 1,910 lbs): </w:t>
      </w:r>
      <w:r>
        <w:rPr>
          <w:rFonts w:ascii="Calibri" w:hAnsi="Calibri"/>
          <w:color w:val="1E293B"/>
          <w:sz w:val="22"/>
        </w:rPr>
        <w:t xml:space="preserve">Reducing curb weight by 10% (-191 lbs) increases fuel economy by </w:t>
      </w:r>
      <w:r>
        <w:rPr>
          <w:rFonts w:ascii="Calibri" w:hAnsi="Calibri"/>
          <w:b/>
          <w:color w:val="1E293B"/>
          <w:sz w:val="22"/>
        </w:rPr>
        <w:t>+1.35 mpg</w:t>
      </w:r>
      <w:r>
        <w:rPr>
          <w:rFonts w:ascii="Calibri" w:hAnsi="Calibri"/>
          <w:color w:val="1E293B"/>
          <w:sz w:val="22"/>
        </w:rPr>
        <w:t xml:space="preserve"> (from 31.40 to 32.75 mpg, a +4.3% gain).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Midsize Manual Sports Platform (e.g., Mazda RX4 / Ferrari Dino, mean wt = 2,750 lbs): </w:t>
      </w:r>
      <w:r>
        <w:rPr>
          <w:rFonts w:ascii="Calibri" w:hAnsi="Calibri"/>
          <w:color w:val="1E293B"/>
          <w:sz w:val="22"/>
        </w:rPr>
        <w:t xml:space="preserve">A 10% mass reduction (-275 lbs) yields </w:t>
      </w:r>
      <w:r>
        <w:rPr>
          <w:rFonts w:ascii="Calibri" w:hAnsi="Calibri"/>
          <w:b/>
          <w:color w:val="1E293B"/>
          <w:sz w:val="22"/>
        </w:rPr>
        <w:t>+1.95 mpg</w:t>
      </w:r>
      <w:r>
        <w:rPr>
          <w:rFonts w:ascii="Calibri" w:hAnsi="Calibri"/>
          <w:color w:val="1E293B"/>
          <w:sz w:val="22"/>
        </w:rPr>
        <w:t xml:space="preserve"> (from 20.57 to 22.52 mpg, a +9.5% improvement).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Midsize Automatic Sedan Fleet (e.g., Hornet 4 Drive / Merc 280, mean wt = 3,330 lbs): </w:t>
      </w:r>
      <w:r>
        <w:rPr>
          <w:rFonts w:ascii="Calibri" w:hAnsi="Calibri"/>
          <w:color w:val="1E293B"/>
          <w:sz w:val="22"/>
        </w:rPr>
        <w:t xml:space="preserve">A 10% mass reduction (-333 lbs) yields </w:t>
      </w:r>
      <w:r>
        <w:rPr>
          <w:rFonts w:ascii="Calibri" w:hAnsi="Calibri"/>
          <w:b/>
          <w:color w:val="1E293B"/>
          <w:sz w:val="22"/>
        </w:rPr>
        <w:t>+0.98 mpg</w:t>
      </w:r>
      <w:r>
        <w:rPr>
          <w:rFonts w:ascii="Calibri" w:hAnsi="Calibri"/>
          <w:color w:val="1E293B"/>
          <w:sz w:val="22"/>
        </w:rPr>
        <w:t xml:space="preserve"> (from 19.47 to 20.45 mpg, +5.0%).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Full-Size Luxury V8 Automatic Cruiser (e.g., Chrysler Imperial / Lincoln Continental, mean wt = 5,340 lbs): </w:t>
      </w:r>
      <w:r>
        <w:rPr>
          <w:rFonts w:ascii="Calibri" w:hAnsi="Calibri"/>
          <w:color w:val="1E293B"/>
          <w:sz w:val="22"/>
        </w:rPr>
        <w:t xml:space="preserve">A 10% mass reduction (-534 lbs) yields </w:t>
      </w:r>
      <w:r>
        <w:rPr>
          <w:rFonts w:ascii="Calibri" w:hAnsi="Calibri"/>
          <w:b/>
          <w:color w:val="1E293B"/>
          <w:sz w:val="22"/>
        </w:rPr>
        <w:t>+1.57 mpg</w:t>
      </w:r>
      <w:r>
        <w:rPr>
          <w:rFonts w:ascii="Calibri" w:hAnsi="Calibri"/>
          <w:color w:val="1E293B"/>
          <w:sz w:val="22"/>
        </w:rPr>
        <w:t xml:space="preserve"> (from 11.83 to 13.40 mpg, a +13.3% relative efficiency gain, cutting fuel consumption from 8.45 to 7.46 gallons per 100 miles).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2. Commercial Fleet Procurement &amp; Annual Fuel Expenditure Simulation: </w:t>
      </w:r>
      <w:r>
        <w:rPr>
          <w:rFonts w:ascii="Calibri" w:hAnsi="Calibri"/>
          <w:color w:val="1E293B"/>
          <w:sz w:val="22"/>
        </w:rPr>
        <w:t xml:space="preserve">For a commercial logistics or corporate mobility operator managing a fleet of </w:t>
      </w:r>
      <w:r>
        <w:rPr>
          <w:rFonts w:ascii="Calibri" w:hAnsi="Calibri"/>
          <w:b/>
          <w:color w:val="1E293B"/>
          <w:sz w:val="22"/>
        </w:rPr>
        <w:t>1,000 vehicles</w:t>
      </w:r>
      <w:r>
        <w:rPr>
          <w:rFonts w:ascii="Calibri" w:hAnsi="Calibri"/>
          <w:color w:val="1E293B"/>
          <w:sz w:val="22"/>
        </w:rPr>
        <w:t xml:space="preserve"> driven </w:t>
      </w:r>
      <w:r>
        <w:rPr>
          <w:rFonts w:ascii="Calibri" w:hAnsi="Calibri"/>
          <w:b/>
          <w:color w:val="1E293B"/>
          <w:sz w:val="22"/>
        </w:rPr>
        <w:t>15,000 miles per vehicle per year</w:t>
      </w:r>
      <w:r>
        <w:rPr>
          <w:rFonts w:ascii="Calibri" w:hAnsi="Calibri"/>
          <w:color w:val="1E293B"/>
          <w:sz w:val="22"/>
        </w:rPr>
        <w:t xml:space="preserve"> (15,000,000 total fleet miles/year) at a benchmark fuel price of </w:t>
      </w:r>
      <w:r>
        <w:rPr>
          <w:rFonts w:ascii="Calibri" w:hAnsi="Calibri"/>
          <w:b/>
          <w:color w:val="1E293B"/>
          <w:sz w:val="22"/>
        </w:rPr>
        <w:t>$3.50 per gallon</w:t>
      </w:r>
      <w:r>
        <w:rPr>
          <w:rFonts w:ascii="Calibri" w:hAnsi="Calibri"/>
          <w:color w:val="1E293B"/>
          <w:sz w:val="22"/>
        </w:rPr>
        <w:t xml:space="preserve"> (Figure 9B):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8-Cylinder Automatic Fleet (15.05 mpg): </w:t>
      </w:r>
      <w:r>
        <w:rPr>
          <w:rFonts w:ascii="Calibri" w:hAnsi="Calibri"/>
          <w:color w:val="1E293B"/>
          <w:sz w:val="22"/>
        </w:rPr>
        <w:t xml:space="preserve">Consumes 996,678 gallons/year, costing </w:t>
      </w:r>
      <w:r>
        <w:rPr>
          <w:rFonts w:ascii="Calibri" w:hAnsi="Calibri"/>
          <w:b/>
          <w:color w:val="1E293B"/>
          <w:sz w:val="22"/>
        </w:rPr>
        <w:t>$3,488,372 per year</w:t>
      </w:r>
      <w:r>
        <w:rPr>
          <w:rFonts w:ascii="Calibri" w:hAnsi="Calibri"/>
          <w:color w:val="1E293B"/>
          <w:sz w:val="22"/>
        </w:rPr>
        <w:t>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6-Cylinder Mixed Fleet (19.74 mpg): </w:t>
      </w:r>
      <w:r>
        <w:rPr>
          <w:rFonts w:ascii="Calibri" w:hAnsi="Calibri"/>
          <w:color w:val="1E293B"/>
          <w:sz w:val="22"/>
        </w:rPr>
        <w:t xml:space="preserve">Consumes 759,763 gallons/year, costing </w:t>
      </w:r>
      <w:r>
        <w:rPr>
          <w:rFonts w:ascii="Calibri" w:hAnsi="Calibri"/>
          <w:b/>
          <w:color w:val="1E293B"/>
          <w:sz w:val="22"/>
        </w:rPr>
        <w:t>$2,659,170 per year</w:t>
      </w:r>
      <w:r>
        <w:rPr>
          <w:rFonts w:ascii="Calibri" w:hAnsi="Calibri"/>
          <w:color w:val="1E293B"/>
          <w:sz w:val="22"/>
        </w:rPr>
        <w:t xml:space="preserve"> (saving </w:t>
      </w:r>
      <w:r>
        <w:rPr>
          <w:rFonts w:ascii="Calibri" w:hAnsi="Calibri"/>
          <w:b/>
          <w:color w:val="1E293B"/>
          <w:sz w:val="22"/>
        </w:rPr>
        <w:t>$829,202/year</w:t>
      </w:r>
      <w:r>
        <w:rPr>
          <w:rFonts w:ascii="Calibri" w:hAnsi="Calibri"/>
          <w:color w:val="1E293B"/>
          <w:sz w:val="22"/>
        </w:rPr>
        <w:t xml:space="preserve"> or -23.8% vs. 8-cylinder automatics).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4-Cylinder Automatic Fleet (22.90 mpg): </w:t>
      </w:r>
      <w:r>
        <w:rPr>
          <w:rFonts w:ascii="Calibri" w:hAnsi="Calibri"/>
          <w:color w:val="1E293B"/>
          <w:sz w:val="22"/>
        </w:rPr>
        <w:t xml:space="preserve">Consumes 655,022 gallons/year, costing </w:t>
      </w:r>
      <w:r>
        <w:rPr>
          <w:rFonts w:ascii="Calibri" w:hAnsi="Calibri"/>
          <w:b/>
          <w:color w:val="1E293B"/>
          <w:sz w:val="22"/>
        </w:rPr>
        <w:t>$2,292,576 per year</w:t>
      </w:r>
      <w:r>
        <w:rPr>
          <w:rFonts w:ascii="Calibri" w:hAnsi="Calibri"/>
          <w:color w:val="1E293B"/>
          <w:sz w:val="22"/>
        </w:rPr>
        <w:t xml:space="preserve"> (saving </w:t>
      </w:r>
      <w:r>
        <w:rPr>
          <w:rFonts w:ascii="Calibri" w:hAnsi="Calibri"/>
          <w:b/>
          <w:color w:val="1E293B"/>
          <w:sz w:val="22"/>
        </w:rPr>
        <w:t>$1,195,796/year</w:t>
      </w:r>
      <w:r>
        <w:rPr>
          <w:rFonts w:ascii="Calibri" w:hAnsi="Calibri"/>
          <w:color w:val="1E293B"/>
          <w:sz w:val="22"/>
        </w:rPr>
        <w:t xml:space="preserve"> or -34.3% vs. 8-cylinder automatics).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4-Cylinder Manual Fleet (28.08 mpg): </w:t>
      </w:r>
      <w:r>
        <w:rPr>
          <w:rFonts w:ascii="Calibri" w:hAnsi="Calibri"/>
          <w:color w:val="1E293B"/>
          <w:sz w:val="22"/>
        </w:rPr>
        <w:t xml:space="preserve">Consumes 534,283 gallons/year, costing </w:t>
      </w:r>
      <w:r>
        <w:rPr>
          <w:rFonts w:ascii="Calibri" w:hAnsi="Calibri"/>
          <w:b/>
          <w:color w:val="1E293B"/>
          <w:sz w:val="22"/>
        </w:rPr>
        <w:t>$1,869,991 per year</w:t>
      </w:r>
      <w:r>
        <w:rPr>
          <w:rFonts w:ascii="Calibri" w:hAnsi="Calibri"/>
          <w:color w:val="1E293B"/>
          <w:sz w:val="22"/>
        </w:rPr>
        <w:t xml:space="preserve"> (saving </w:t>
      </w:r>
      <w:r>
        <w:rPr>
          <w:rFonts w:ascii="Calibri" w:hAnsi="Calibri"/>
          <w:b/>
          <w:color w:val="1E293B"/>
          <w:sz w:val="22"/>
        </w:rPr>
        <w:t>$1,618,381/year</w:t>
      </w:r>
      <w:r>
        <w:rPr>
          <w:rFonts w:ascii="Calibri" w:hAnsi="Calibri"/>
          <w:color w:val="1E293B"/>
          <w:sz w:val="22"/>
        </w:rPr>
        <w:t xml:space="preserve"> and eliminating 462,395 gallons of annual fuel burn—equivalent to avoiding </w:t>
      </w:r>
      <w:r>
        <w:rPr>
          <w:rFonts w:ascii="Calibri" w:hAnsi="Calibri"/>
          <w:b/>
          <w:color w:val="1E293B"/>
          <w:sz w:val="22"/>
        </w:rPr>
        <w:t>4,109 metric tons of CO2 emissions</w:t>
      </w:r>
      <w:r>
        <w:rPr>
          <w:rFonts w:ascii="Calibri" w:hAnsi="Calibri"/>
          <w:color w:val="1E293B"/>
          <w:sz w:val="22"/>
        </w:rPr>
        <w:t xml:space="preserve"> per 1,000 vehicles every year at 8.887 kg CO2/gallon).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3. Powertrain Gearing &amp; Acceleration Calibration (qsec Trade-Off): </w:t>
      </w:r>
      <w:r>
        <w:rPr>
          <w:rFonts w:ascii="Calibri" w:hAnsi="Calibri"/>
          <w:color w:val="1E293B"/>
          <w:sz w:val="22"/>
        </w:rPr>
        <w:t>In Model 4, each +1.0 second increase in quarter-mile acceleration time (</w:t>
      </w:r>
      <w:r>
        <w:rPr>
          <w:rFonts w:ascii="Courier New" w:hAnsi="Courier New"/>
          <w:b/>
          <w:color w:val="1E3A5F"/>
          <w:sz w:val="21"/>
        </w:rPr>
        <w:t>qsec</w:t>
      </w:r>
      <w:r>
        <w:rPr>
          <w:rFonts w:ascii="Calibri" w:hAnsi="Calibri"/>
          <w:color w:val="1E293B"/>
          <w:sz w:val="22"/>
        </w:rPr>
        <w:t xml:space="preserve">) yields </w:t>
      </w:r>
      <w:r>
        <w:rPr>
          <w:rFonts w:ascii="Calibri" w:hAnsi="Calibri"/>
          <w:b/>
          <w:color w:val="1E293B"/>
          <w:sz w:val="22"/>
        </w:rPr>
        <w:t>+1.0170 mpg</w:t>
      </w:r>
      <w:r>
        <w:rPr>
          <w:rFonts w:ascii="Calibri" w:hAnsi="Calibri"/>
          <w:color w:val="1E293B"/>
          <w:sz w:val="22"/>
        </w:rPr>
        <w:t xml:space="preserve"> (p = 0.000403), holding weight and transmission constant. Product planners can therefore recalibrate final drive ratios (</w:t>
      </w:r>
      <w:r>
        <w:rPr>
          <w:rFonts w:ascii="Courier New" w:hAnsi="Courier New"/>
          <w:b/>
          <w:color w:val="1E3A5F"/>
          <w:sz w:val="21"/>
        </w:rPr>
        <w:t>drat</w:t>
      </w:r>
      <w:r>
        <w:rPr>
          <w:rFonts w:ascii="Calibri" w:hAnsi="Calibri"/>
          <w:color w:val="1E293B"/>
          <w:sz w:val="22"/>
        </w:rPr>
        <w:t xml:space="preserve">) and carburetor staging on commuter trims to relax 1/4-mile acceleration by 1.5 seconds (e.g., from 16.5 s to 18.0 s), capturing an immediate </w:t>
      </w:r>
      <w:r>
        <w:rPr>
          <w:rFonts w:ascii="Calibri" w:hAnsi="Calibri"/>
          <w:b/>
          <w:color w:val="1E293B"/>
          <w:sz w:val="22"/>
        </w:rPr>
        <w:t>+1.53 mpg</w:t>
      </w:r>
      <w:r>
        <w:rPr>
          <w:rFonts w:ascii="Calibri" w:hAnsi="Calibri"/>
          <w:color w:val="1E293B"/>
          <w:sz w:val="22"/>
        </w:rPr>
        <w:t xml:space="preserve"> Corporate Average Fuel Economy (CAFE) compliance credit without expensive chassis re-tooling.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261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fig5_business_impact_simul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6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475569"/>
          <w:sz w:val="19"/>
        </w:rPr>
        <w:t>Figure 9 (Week 4 Business &amp; Engineering Impact Simulation): (A) Predicted MPG dividend from a 10% curb-weight reduction across four vehicle archetypes; (B) Annual fleet fuel expenditure per 1,000 vehicles (15,000 miles/yr @ $3.50/gal).</w:t>
      </w: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7. Conclusion, Challenges Overcome, and Future Directions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7.1 Synthesis of Lessons Learned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Consolidating the four-week analytical lifecycle demonstrates how data cleaning, visual exploration, hypothesis testing, and predictive modeling reinforce one another. Without Week 1's outlier and distributional audits, extreme high-powered vehicles (</w:t>
      </w:r>
      <w:r>
        <w:rPr>
          <w:rFonts w:ascii="Courier New" w:hAnsi="Courier New"/>
          <w:b/>
          <w:color w:val="1E3A5F"/>
          <w:sz w:val="21"/>
        </w:rPr>
        <w:t>Maserati Bora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urier New" w:hAnsi="Courier New"/>
          <w:b/>
          <w:color w:val="1E3A5F"/>
          <w:sz w:val="21"/>
        </w:rPr>
        <w:t>Chrysler Imperial</w:t>
      </w:r>
      <w:r>
        <w:rPr>
          <w:rFonts w:ascii="Calibri" w:hAnsi="Calibri"/>
          <w:color w:val="1E293B"/>
          <w:sz w:val="22"/>
        </w:rPr>
        <w:t xml:space="preserve">) could have been misclassified as corrupt records rather than high-leverage engineering boundary cases. Without Week 2's multi-dimensional </w:t>
      </w:r>
      <w:r>
        <w:rPr>
          <w:rFonts w:ascii="Courier New" w:hAnsi="Courier New"/>
          <w:b/>
          <w:color w:val="1E3A5F"/>
          <w:sz w:val="21"/>
        </w:rPr>
        <w:t>ggplot2</w:t>
      </w:r>
      <w:r>
        <w:rPr>
          <w:rFonts w:ascii="Calibri" w:hAnsi="Calibri"/>
          <w:color w:val="1E293B"/>
          <w:sz w:val="22"/>
        </w:rPr>
        <w:t xml:space="preserve"> conditioning plots, the slope divergence between automatic and manual transmissions across curb weight would have remained hidden behind an additive specification. Finally, Week 3's cross-validation architecture proved that parsimonious, physically grounded models (</w:t>
      </w:r>
      <w:r>
        <w:rPr>
          <w:rFonts w:ascii="Courier New" w:hAnsi="Courier New"/>
          <w:b/>
          <w:color w:val="1E3A5F"/>
          <w:sz w:val="21"/>
        </w:rPr>
        <w:t>mpg ~ wt * am + qsec</w:t>
      </w:r>
      <w:r>
        <w:rPr>
          <w:rFonts w:ascii="Calibri" w:hAnsi="Calibri"/>
          <w:color w:val="1E293B"/>
          <w:sz w:val="22"/>
        </w:rPr>
        <w:t>, LOOCV RMSE = 2.2704 mpg) substantially outperform unpruned 10-variable regressions (LOOCV RMSE = 3.4902 mpg).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7.2 Methodological Challenges Overcome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Three major technical challenges were encountered and resolved during this project:</w:t>
      </w:r>
      <w:r>
        <w:rPr>
          <w:rFonts w:ascii="Calibri" w:hAnsi="Calibri"/>
          <w:color w:val="1E293B"/>
          <w:sz w:val="22"/>
        </w:rPr>
        <w:br/>
        <w:t xml:space="preserve">1. </w:t>
      </w:r>
      <w:r>
        <w:rPr>
          <w:rFonts w:ascii="Calibri" w:hAnsi="Calibri"/>
          <w:b/>
          <w:color w:val="1E293B"/>
          <w:sz w:val="22"/>
        </w:rPr>
        <w:t xml:space="preserve">Severe Multicollinearity Among Engine Size Metrics: </w:t>
      </w:r>
      <w:r>
        <w:rPr>
          <w:rFonts w:ascii="Calibri" w:hAnsi="Calibri"/>
          <w:color w:val="1E293B"/>
          <w:sz w:val="22"/>
        </w:rPr>
        <w:t xml:space="preserve">In the full 10-predictor OLS regression, strong inter-correlations between </w:t>
      </w:r>
      <w:r>
        <w:rPr>
          <w:rFonts w:ascii="Courier New" w:hAnsi="Courier New"/>
          <w:b/>
          <w:color w:val="1E3A5F"/>
          <w:sz w:val="21"/>
        </w:rPr>
        <w:t>disp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urier New" w:hAnsi="Courier New"/>
          <w:b/>
          <w:color w:val="1E3A5F"/>
          <w:sz w:val="21"/>
        </w:rPr>
        <w:t>cyl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urier New" w:hAnsi="Courier New"/>
          <w:b/>
          <w:color w:val="1E3A5F"/>
          <w:sz w:val="21"/>
        </w:rPr>
        <w:t>wt</w:t>
      </w:r>
      <w:r>
        <w:rPr>
          <w:rFonts w:ascii="Calibri" w:hAnsi="Calibri"/>
          <w:color w:val="1E293B"/>
          <w:sz w:val="22"/>
        </w:rPr>
        <w:t xml:space="preserve">, and </w:t>
      </w:r>
      <w:r>
        <w:rPr>
          <w:rFonts w:ascii="Courier New" w:hAnsi="Courier New"/>
          <w:b/>
          <w:color w:val="1E3A5F"/>
          <w:sz w:val="21"/>
        </w:rPr>
        <w:t>hp</w:t>
      </w:r>
      <w:r>
        <w:rPr>
          <w:rFonts w:ascii="Calibri" w:hAnsi="Calibri"/>
          <w:color w:val="1E293B"/>
          <w:sz w:val="22"/>
        </w:rPr>
        <w:t xml:space="preserve"> inflated Variance Inflation Factors up to 21.62, masking individual predictor significance. We overcame this challenge via two complementary paths: bidirectional AIC stepwise pruning (</w:t>
      </w:r>
      <w:r>
        <w:rPr>
          <w:rFonts w:ascii="Courier New" w:hAnsi="Courier New"/>
          <w:b/>
          <w:color w:val="1E3A5F"/>
          <w:sz w:val="21"/>
        </w:rPr>
        <w:t>stats::step</w:t>
      </w:r>
      <w:r>
        <w:rPr>
          <w:rFonts w:ascii="Calibri" w:hAnsi="Calibri"/>
          <w:color w:val="1E293B"/>
          <w:sz w:val="22"/>
        </w:rPr>
        <w:t>, reducing VIF &lt;= 2.54) and L2 Tikhonov Ridge regularization (</w:t>
      </w:r>
      <w:r>
        <w:rPr>
          <w:rFonts w:ascii="Courier New" w:hAnsi="Courier New"/>
          <w:b/>
          <w:color w:val="1E3A5F"/>
          <w:sz w:val="21"/>
        </w:rPr>
        <w:t>glmnet</w:t>
      </w:r>
      <w:r>
        <w:rPr>
          <w:rFonts w:ascii="Calibri" w:hAnsi="Calibri"/>
          <w:color w:val="1E293B"/>
          <w:sz w:val="22"/>
        </w:rPr>
        <w:t>, reducing LOOCV error by 17.2%).</w:t>
      </w:r>
      <w:r>
        <w:rPr>
          <w:rFonts w:ascii="Calibri" w:hAnsi="Calibri"/>
          <w:color w:val="1E293B"/>
          <w:sz w:val="22"/>
        </w:rPr>
        <w:br/>
        <w:t xml:space="preserve">2. </w:t>
      </w:r>
      <w:r>
        <w:rPr>
          <w:rFonts w:ascii="Calibri" w:hAnsi="Calibri"/>
          <w:b/>
          <w:color w:val="1E293B"/>
          <w:sz w:val="22"/>
        </w:rPr>
        <w:t xml:space="preserve">Confounding Between Transmission Type and Curb Weight: </w:t>
      </w:r>
      <w:r>
        <w:rPr>
          <w:rFonts w:ascii="Calibri" w:hAnsi="Calibri"/>
          <w:color w:val="1E293B"/>
          <w:sz w:val="22"/>
        </w:rPr>
        <w:t xml:space="preserve">Unadjusted bivariate testing suggested a +7.245 mpg manual transmission advantage, but exploratory boxplots revealed that manual cars were 1,358 lbs lighter on average. Introducing the </w:t>
      </w:r>
      <w:r>
        <w:rPr>
          <w:rFonts w:ascii="Courier New" w:hAnsi="Courier New"/>
          <w:b/>
          <w:color w:val="1E3A5F"/>
          <w:sz w:val="21"/>
        </w:rPr>
        <w:t>wt:am</w:t>
      </w:r>
      <w:r>
        <w:rPr>
          <w:rFonts w:ascii="Calibri" w:hAnsi="Calibri"/>
          <w:color w:val="1E293B"/>
          <w:sz w:val="22"/>
        </w:rPr>
        <w:t xml:space="preserve"> interaction resolved this confounding and identified the exact 3,400-lb crossover threshold.</w:t>
      </w:r>
      <w:r>
        <w:rPr>
          <w:rFonts w:ascii="Calibri" w:hAnsi="Calibri"/>
          <w:color w:val="1E293B"/>
          <w:sz w:val="22"/>
        </w:rPr>
        <w:br/>
        <w:t xml:space="preserve">3. </w:t>
      </w:r>
      <w:r>
        <w:rPr>
          <w:rFonts w:ascii="Calibri" w:hAnsi="Calibri"/>
          <w:b/>
          <w:color w:val="1E293B"/>
          <w:sz w:val="22"/>
        </w:rPr>
        <w:t xml:space="preserve">Quasi-Complete Separation &amp; The Hauck-Donner Effect in Binomial GLMs: </w:t>
      </w:r>
      <w:r>
        <w:rPr>
          <w:rFonts w:ascii="Calibri" w:hAnsi="Calibri"/>
          <w:color w:val="1E293B"/>
          <w:sz w:val="22"/>
        </w:rPr>
        <w:t xml:space="preserve">In </w:t>
      </w:r>
      <w:r>
        <w:rPr>
          <w:rFonts w:ascii="Courier New" w:hAnsi="Courier New"/>
          <w:b/>
          <w:color w:val="1E3A5F"/>
          <w:sz w:val="21"/>
        </w:rPr>
        <w:t>glm(am ~ mpg + qsec, family = binomial)</w:t>
      </w:r>
      <w:r>
        <w:rPr>
          <w:rFonts w:ascii="Calibri" w:hAnsi="Calibri"/>
          <w:color w:val="1E293B"/>
          <w:sz w:val="22"/>
        </w:rPr>
        <w:t>, near-complete separation (In-Sample AUC = 0.9879) inflated asymptotic Wald standard errors (p = 0.146 and p = 0.117) despite an overwhelmingly significant model deviance reduction (p = 1.747e-08). We resolved this diagnostic pitfall by replacing Wald z-tests with profile Likelihood Ratio Tests (</w:t>
      </w:r>
      <w:r>
        <w:rPr>
          <w:rFonts w:ascii="Courier New" w:hAnsi="Courier New"/>
          <w:b/>
          <w:color w:val="1E3A5F"/>
          <w:sz w:val="21"/>
        </w:rPr>
        <w:t>drop1(..., test = 'Chisq')</w:t>
      </w:r>
      <w:r>
        <w:rPr>
          <w:rFonts w:ascii="Calibri" w:hAnsi="Calibri"/>
          <w:color w:val="1E293B"/>
          <w:sz w:val="22"/>
        </w:rPr>
        <w:t>) and validating out-of-sample generalization via LOOCV ROC-AUC (0.9069).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7.3 Recommendations for Future Analytical Directions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To extend this analytical framework to modern, large-scale automotive telemetry datasets (such as the UCI Auto MPG dataset, N = 398, or US EPA Fuel Economy datasets, N &gt; 40,000), four methodological enhancements are recommended: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Non-Linear Spline &amp; Generalized Additive Modeling (mgcv::gam): </w:t>
      </w:r>
      <w:r>
        <w:rPr>
          <w:rFonts w:ascii="Calibri" w:hAnsi="Calibri"/>
          <w:color w:val="1E293B"/>
          <w:sz w:val="22"/>
        </w:rPr>
        <w:t>Replace parametric linear/interaction terms with penalized cubic regression splines (</w:t>
      </w:r>
      <w:r>
        <w:rPr>
          <w:rFonts w:ascii="Courier New" w:hAnsi="Courier New"/>
          <w:b/>
          <w:color w:val="1E3A5F"/>
          <w:sz w:val="21"/>
        </w:rPr>
        <w:t>gam(mpg ~ s(wt, by = am_f) + s(qsec) + am_f)</w:t>
      </w:r>
      <w:r>
        <w:rPr>
          <w:rFonts w:ascii="Calibri" w:hAnsi="Calibri"/>
          <w:color w:val="1E293B"/>
          <w:sz w:val="22"/>
        </w:rPr>
        <w:t>) to capture hyperbolic aerodynamic drag and rolling-resistance curves.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Bias-Reduced Penalized Logistic Regression (logistf::logistf): </w:t>
      </w:r>
      <w:r>
        <w:rPr>
          <w:rFonts w:ascii="Calibri" w:hAnsi="Calibri"/>
          <w:color w:val="1E293B"/>
          <w:sz w:val="22"/>
        </w:rPr>
        <w:t>Apply Firth's penalized maximum likelihood estimation to binomial GLMs to eliminate small-sample separation bias analytically.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Robust M-Estimation &amp; Bootstrap Inference (MASS::rlm &amp; boot::boot): </w:t>
      </w:r>
      <w:r>
        <w:rPr>
          <w:rFonts w:ascii="Calibri" w:hAnsi="Calibri"/>
          <w:color w:val="1E293B"/>
          <w:sz w:val="22"/>
        </w:rPr>
        <w:t>Use Huber/Tukey bisquare weights and 10,000 BCa bootstrap resamples to construct distribution-free confidence intervals immune to high-leverage luxury/supercar outliers.</w:t>
      </w:r>
      <w:r>
        <w:rPr>
          <w:rFonts w:ascii="Calibri" w:hAnsi="Calibri"/>
          <w:color w:val="1E293B"/>
          <w:sz w:val="22"/>
        </w:rPr>
        <w:br/>
        <w:t xml:space="preserve">• </w:t>
      </w:r>
      <w:r>
        <w:rPr>
          <w:rFonts w:ascii="Calibri" w:hAnsi="Calibri"/>
          <w:b/>
          <w:color w:val="1E293B"/>
          <w:sz w:val="22"/>
        </w:rPr>
        <w:t xml:space="preserve">Ensemble Tree &amp; Gradient Boosting Benchmarks (randomForest &amp; xgboost): </w:t>
      </w:r>
      <w:r>
        <w:rPr>
          <w:rFonts w:ascii="Calibri" w:hAnsi="Calibri"/>
          <w:color w:val="1E293B"/>
          <w:sz w:val="22"/>
        </w:rPr>
        <w:t xml:space="preserve">Benchmark parametric models against </w:t>
      </w:r>
      <w:hyperlink r:id="rId38">
        <w:r>
          <w:rPr>
            <w:rFonts w:ascii="Calibri" w:hAnsi="Calibri"/>
            <w:sz w:val="22"/>
            <w:color w:val="0284C7"/>
            <w:u w:val="single"/>
          </w:rPr>
          <w:t>randomForest::randomForest()</w:t>
        </w:r>
      </w:hyperlink>
      <w:r>
        <w:rPr>
          <w:rFonts w:ascii="Calibri" w:hAnsi="Calibri"/>
          <w:color w:val="1E293B"/>
          <w:sz w:val="22"/>
        </w:rPr>
        <w:t xml:space="preserve"> with permutation variable importance and SHAP (SHapley Additive exPlanations) values when scaling to high-dimensional modern hybrid/EV datasets.</w:t>
      </w:r>
    </w:p>
    <w:p>
      <w:pPr>
        <w:keepNext/>
        <w:spacing w:before="320" w:after="120"/>
        <w:pBdr>
          <w:bottom w:val="single" w:sz="8" w:space="4" w:color="1E3A5F"/>
        </w:pBdr>
      </w:pPr>
      <w:r>
        <w:rPr>
          <w:rFonts w:ascii="Calibri" w:hAnsi="Calibri"/>
          <w:b/>
          <w:color w:val="1E3A5F"/>
          <w:sz w:val="32"/>
        </w:rPr>
        <w:t>8. References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[1] </w:t>
      </w:r>
      <w:r>
        <w:rPr>
          <w:rFonts w:ascii="Calibri" w:hAnsi="Calibri"/>
          <w:color w:val="1E293B"/>
          <w:sz w:val="22"/>
        </w:rPr>
        <w:t xml:space="preserve">Henderson, H. V., &amp; Velleman, P. F. (1981). Building Multiple Regression Models Interactively. Biometrics, 37(2), 391–411. </w:t>
      </w:r>
      <w:hyperlink r:id="rId13">
        <w:r>
          <w:rPr>
            <w:rFonts w:ascii="Calibri" w:hAnsi="Calibri"/>
            <w:sz w:val="22"/>
            <w:color w:val="0284C7"/>
            <w:u w:val="single"/>
          </w:rPr>
          <w:t>https://www.researchgate.net/publication/265356473_Building_Multiple_Regression_Models_Interactively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[2] </w:t>
      </w:r>
      <w:r>
        <w:rPr>
          <w:rFonts w:ascii="Calibri" w:hAnsi="Calibri"/>
          <w:color w:val="1E293B"/>
          <w:sz w:val="22"/>
        </w:rPr>
        <w:t xml:space="preserve">R Core Team (2026). An Introduction to R &amp; The R Stats Package (lm, glm, t.test, aov, cor.test, shapiro.test). R Foundation for Statistical Computing. </w:t>
      </w:r>
      <w:hyperlink r:id="rId39">
        <w:r>
          <w:rPr>
            <w:rFonts w:ascii="Calibri" w:hAnsi="Calibri"/>
            <w:sz w:val="22"/>
            <w:color w:val="0284C7"/>
            <w:u w:val="single"/>
          </w:rPr>
          <w:t>https://stat.ethz.ch/R-manual/R-devel/library/stats/html/00Index.html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[3] </w:t>
      </w:r>
      <w:r>
        <w:rPr>
          <w:rFonts w:ascii="Calibri" w:hAnsi="Calibri"/>
          <w:color w:val="1E293B"/>
          <w:sz w:val="22"/>
        </w:rPr>
        <w:t xml:space="preserve">Motor Trend Car Road Tests (mtcars) Dataset Documentation — R datasets Package. </w:t>
      </w:r>
      <w:hyperlink r:id="rId12">
        <w:r>
          <w:rPr>
            <w:rFonts w:ascii="Calibri" w:hAnsi="Calibri"/>
            <w:sz w:val="22"/>
            <w:color w:val="0284C7"/>
            <w:u w:val="single"/>
          </w:rPr>
          <w:t>https://stat.ethz.ch/R-manual/R-devel/library/datasets/html/mtcars.html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[4] </w:t>
      </w:r>
      <w:r>
        <w:rPr>
          <w:rFonts w:ascii="Calibri" w:hAnsi="Calibri"/>
          <w:color w:val="1E293B"/>
          <w:sz w:val="22"/>
        </w:rPr>
        <w:t xml:space="preserve">Wickham, H., François, R., Henry, L., Müller, K., &amp; Vaughan, D. (2026). dplyr: A Grammar of Data Manipulation. CRAN. </w:t>
      </w:r>
      <w:hyperlink r:id="rId14">
        <w:r>
          <w:rPr>
            <w:rFonts w:ascii="Calibri" w:hAnsi="Calibri"/>
            <w:sz w:val="22"/>
            <w:color w:val="0284C7"/>
            <w:u w:val="single"/>
          </w:rPr>
          <w:t>https://cran.r-project.org/package=dplyr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[5] </w:t>
      </w:r>
      <w:r>
        <w:rPr>
          <w:rFonts w:ascii="Calibri" w:hAnsi="Calibri"/>
          <w:color w:val="1E293B"/>
          <w:sz w:val="22"/>
        </w:rPr>
        <w:t xml:space="preserve">Wickham, H., Vaughan, D., &amp; Girlich, M. (2025). tidyr: Tidy Messy Data. CRAN. </w:t>
      </w:r>
      <w:hyperlink r:id="rId15">
        <w:r>
          <w:rPr>
            <w:rFonts w:ascii="Calibri" w:hAnsi="Calibri"/>
            <w:sz w:val="22"/>
            <w:color w:val="0284C7"/>
            <w:u w:val="single"/>
          </w:rPr>
          <w:t>https://cran.r-project.org/package=tidyr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[6] </w:t>
      </w:r>
      <w:r>
        <w:rPr>
          <w:rFonts w:ascii="Calibri" w:hAnsi="Calibri"/>
          <w:color w:val="1E293B"/>
          <w:sz w:val="22"/>
        </w:rPr>
        <w:t xml:space="preserve">Wickham, H. (2026). ggplot2: Create Elegant Data Visualisations Using the Grammar of Graphics. CRAN. </w:t>
      </w:r>
      <w:hyperlink r:id="rId16">
        <w:r>
          <w:rPr>
            <w:rFonts w:ascii="Calibri" w:hAnsi="Calibri"/>
            <w:sz w:val="22"/>
            <w:color w:val="0284C7"/>
            <w:u w:val="single"/>
          </w:rPr>
          <w:t>https://cran.r-project.org/package=ggplot2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[7] </w:t>
      </w:r>
      <w:r>
        <w:rPr>
          <w:rFonts w:ascii="Calibri" w:hAnsi="Calibri"/>
          <w:color w:val="1E293B"/>
          <w:sz w:val="22"/>
        </w:rPr>
        <w:t xml:space="preserve">Wei, T., &amp; Simko, V. (2024). corrplot: Visualization of a Correlation Matrix. CRAN. </w:t>
      </w:r>
      <w:hyperlink r:id="rId17">
        <w:r>
          <w:rPr>
            <w:rFonts w:ascii="Calibri" w:hAnsi="Calibri"/>
            <w:sz w:val="22"/>
            <w:color w:val="0284C7"/>
            <w:u w:val="single"/>
          </w:rPr>
          <w:t>https://cran.r-project.org/package=corrplot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[8] </w:t>
      </w:r>
      <w:r>
        <w:rPr>
          <w:rFonts w:ascii="Calibri" w:hAnsi="Calibri"/>
          <w:color w:val="1E293B"/>
          <w:sz w:val="22"/>
        </w:rPr>
        <w:t xml:space="preserve">Kuhn, M. (2024). caret: Classification and Regression Training. CRAN. </w:t>
      </w:r>
      <w:hyperlink r:id="rId25">
        <w:r>
          <w:rPr>
            <w:rFonts w:ascii="Calibri" w:hAnsi="Calibri"/>
            <w:sz w:val="22"/>
            <w:color w:val="0284C7"/>
            <w:u w:val="single"/>
          </w:rPr>
          <w:t>https://cran.r-project.org/package=caret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[9] </w:t>
      </w:r>
      <w:r>
        <w:rPr>
          <w:rFonts w:ascii="Calibri" w:hAnsi="Calibri"/>
          <w:color w:val="1E293B"/>
          <w:sz w:val="22"/>
        </w:rPr>
        <w:t xml:space="preserve">Fox, J., &amp; Weisberg, S. (2026). car: Companion to Applied Regression — Variance Inflation Factors (vif). CRAN. </w:t>
      </w:r>
      <w:hyperlink r:id="rId32">
        <w:r>
          <w:rPr>
            <w:rFonts w:ascii="Calibri" w:hAnsi="Calibri"/>
            <w:sz w:val="22"/>
            <w:color w:val="0284C7"/>
            <w:u w:val="single"/>
          </w:rPr>
          <w:t>https://rdrr.io/cran/car/man/vif.html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[10] </w:t>
      </w:r>
      <w:r>
        <w:rPr>
          <w:rFonts w:ascii="Calibri" w:hAnsi="Calibri"/>
          <w:color w:val="1E293B"/>
          <w:sz w:val="22"/>
        </w:rPr>
        <w:t xml:space="preserve">Zeileis, A., &amp; Hothorn, T. (2022). lmtest: Testing Linear Regression Models — Breusch-Pagan Test (bptest). CRAN. </w:t>
      </w:r>
      <w:hyperlink r:id="rId34">
        <w:r>
          <w:rPr>
            <w:rFonts w:ascii="Calibri" w:hAnsi="Calibri"/>
            <w:sz w:val="22"/>
            <w:color w:val="0284C7"/>
            <w:u w:val="single"/>
          </w:rPr>
          <w:t>https://rdrr.io/cran/lmtest/man/bptest.html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[11] </w:t>
      </w:r>
      <w:r>
        <w:rPr>
          <w:rFonts w:ascii="Calibri" w:hAnsi="Calibri"/>
          <w:color w:val="1E293B"/>
          <w:sz w:val="22"/>
        </w:rPr>
        <w:t xml:space="preserve">Robin, X., Turck, N., Hainard, A., et al. (2026). pROC: Display and Analyze ROC Curves in R. CRAN. </w:t>
      </w:r>
      <w:hyperlink r:id="rId40">
        <w:r>
          <w:rPr>
            <w:rFonts w:ascii="Calibri" w:hAnsi="Calibri"/>
            <w:sz w:val="22"/>
            <w:color w:val="0284C7"/>
            <w:u w:val="single"/>
          </w:rPr>
          <w:t>https://cran.r-project.org/package=pROC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[12] </w:t>
      </w:r>
      <w:r>
        <w:rPr>
          <w:rFonts w:ascii="Calibri" w:hAnsi="Calibri"/>
          <w:color w:val="1E293B"/>
          <w:sz w:val="22"/>
        </w:rPr>
        <w:t xml:space="preserve">Friedman, J., Hastie, T., &amp; Tibshirani, R. (2026). glmnet: Lasso and Elastic-Net Regularized Generalized Linear Models. CRAN. </w:t>
      </w:r>
      <w:hyperlink r:id="rId23">
        <w:r>
          <w:rPr>
            <w:rFonts w:ascii="Calibri" w:hAnsi="Calibri"/>
            <w:sz w:val="22"/>
            <w:color w:val="0284C7"/>
            <w:u w:val="single"/>
          </w:rPr>
          <w:t>https://cran.r-project.org/package=glmnet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[13] </w:t>
      </w:r>
      <w:r>
        <w:rPr>
          <w:rFonts w:ascii="Calibri" w:hAnsi="Calibri"/>
          <w:color w:val="1E293B"/>
          <w:sz w:val="22"/>
        </w:rPr>
        <w:t xml:space="preserve">Revelle, W. (2026). psych: Procedures for Psychological, Psychometric, and Personality Research. CRAN. </w:t>
      </w:r>
      <w:hyperlink r:id="rId41">
        <w:r>
          <w:rPr>
            <w:rFonts w:ascii="Calibri" w:hAnsi="Calibri"/>
            <w:sz w:val="22"/>
            <w:color w:val="0284C7"/>
            <w:u w:val="single"/>
          </w:rPr>
          <w:t>https://cran.r-project.org/package=psych</w:t>
        </w:r>
      </w:hyperlink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[14] </w:t>
      </w:r>
      <w:r>
        <w:rPr>
          <w:rFonts w:ascii="Calibri" w:hAnsi="Calibri"/>
          <w:color w:val="1E293B"/>
          <w:sz w:val="22"/>
        </w:rPr>
        <w:t xml:space="preserve">Liaw, A., &amp; Wiener, M. (2024). randomForest: Breiman and Cutler's Random Forests for Classification and Regression. CRAN. </w:t>
      </w:r>
      <w:hyperlink r:id="rId38">
        <w:r>
          <w:rPr>
            <w:rFonts w:ascii="Calibri" w:hAnsi="Calibri"/>
            <w:sz w:val="22"/>
            <w:color w:val="0284C7"/>
            <w:u w:val="single"/>
          </w:rPr>
          <w:t>https://cran.r-project.org/package=randomForest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9"/>
      </w:rPr>
      <w:t>Virtual R Data Analyst Internship — Integrated Data Cleaning, Visualization &amp; Predictive Modeling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475569"/>
        <w:sz w:val="19"/>
      </w:rPr>
      <w:t>Week 4 Capstone Report | Comprehensive Data Analysis Reporting &amp; Presentation in 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at.ethz.ch/R-manual/R-devel/doc/manual/R-intro.html" TargetMode="External"/><Relationship Id="rId12" Type="http://schemas.openxmlformats.org/officeDocument/2006/relationships/hyperlink" Target="https://stat.ethz.ch/R-manual/R-devel/library/datasets/html/mtcars.html" TargetMode="External"/><Relationship Id="rId13" Type="http://schemas.openxmlformats.org/officeDocument/2006/relationships/hyperlink" Target="https://www.researchgate.net/publication/265356473_Building_Multiple_Regression_Models_Interactively" TargetMode="External"/><Relationship Id="rId14" Type="http://schemas.openxmlformats.org/officeDocument/2006/relationships/hyperlink" Target="https://cran.r-project.org/package=dplyr" TargetMode="External"/><Relationship Id="rId15" Type="http://schemas.openxmlformats.org/officeDocument/2006/relationships/hyperlink" Target="https://cran.r-project.org/package=tidyr" TargetMode="External"/><Relationship Id="rId16" Type="http://schemas.openxmlformats.org/officeDocument/2006/relationships/hyperlink" Target="https://cran.r-project.org/package=ggplot2" TargetMode="External"/><Relationship Id="rId17" Type="http://schemas.openxmlformats.org/officeDocument/2006/relationships/hyperlink" Target="https://cran.r-project.org/package=corrplot" TargetMode="External"/><Relationship Id="rId18" Type="http://schemas.openxmlformats.org/officeDocument/2006/relationships/hyperlink" Target="https://stat.ethz.ch/R-manual/R-devel/library/stats/help/shapiro.test.html" TargetMode="External"/><Relationship Id="rId19" Type="http://schemas.openxmlformats.org/officeDocument/2006/relationships/hyperlink" Target="https://www.rdocumentation.org/packages/stats/versions/3.6.2/topics/cor.test" TargetMode="External"/><Relationship Id="rId20" Type="http://schemas.openxmlformats.org/officeDocument/2006/relationships/hyperlink" Target="https://stat.ethz.ch/R-manual/R-devel/library/stats/html/t.test.html" TargetMode="External"/><Relationship Id="rId21" Type="http://schemas.openxmlformats.org/officeDocument/2006/relationships/hyperlink" Target="https://www.rdocumentation.org/packages/stats/versions/3.6.2/topics/aov" TargetMode="External"/><Relationship Id="rId22" Type="http://schemas.openxmlformats.org/officeDocument/2006/relationships/hyperlink" Target="https://www.rdocumentation.org/packages/stats/versions/3.6.2/topics/lm" TargetMode="External"/><Relationship Id="rId23" Type="http://schemas.openxmlformats.org/officeDocument/2006/relationships/hyperlink" Target="https://cran.r-project.org/package=glmnet" TargetMode="External"/><Relationship Id="rId24" Type="http://schemas.openxmlformats.org/officeDocument/2006/relationships/hyperlink" Target="https://www.rdocumentation.org/packages/stats/versions/3.6.2/topics/glm" TargetMode="External"/><Relationship Id="rId25" Type="http://schemas.openxmlformats.org/officeDocument/2006/relationships/hyperlink" Target="https://cran.r-project.org/package=caret" TargetMode="External"/><Relationship Id="rId26" Type="http://schemas.openxmlformats.org/officeDocument/2006/relationships/hyperlink" Target="https://www.rdocumentation.org/packages/datasets/versions/3.6.2/topics/mtcars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hyperlink" Target="https://rdrr.io/cran/car/man/vif.html" TargetMode="External"/><Relationship Id="rId33" Type="http://schemas.openxmlformats.org/officeDocument/2006/relationships/image" Target="media/image6.png"/><Relationship Id="rId34" Type="http://schemas.openxmlformats.org/officeDocument/2006/relationships/hyperlink" Target="https://rdrr.io/cran/lmtest/man/bptest.html" TargetMode="External"/><Relationship Id="rId35" Type="http://schemas.openxmlformats.org/officeDocument/2006/relationships/image" Target="media/image7.png"/><Relationship Id="rId36" Type="http://schemas.openxmlformats.org/officeDocument/2006/relationships/image" Target="media/image8.png"/><Relationship Id="rId37" Type="http://schemas.openxmlformats.org/officeDocument/2006/relationships/image" Target="media/image9.png"/><Relationship Id="rId38" Type="http://schemas.openxmlformats.org/officeDocument/2006/relationships/hyperlink" Target="https://cran.r-project.org/package=randomForest" TargetMode="External"/><Relationship Id="rId39" Type="http://schemas.openxmlformats.org/officeDocument/2006/relationships/hyperlink" Target="https://stat.ethz.ch/R-manual/R-devel/library/stats/html/00Index.html" TargetMode="External"/><Relationship Id="rId40" Type="http://schemas.openxmlformats.org/officeDocument/2006/relationships/hyperlink" Target="https://cran.r-project.org/package=pROC" TargetMode="External"/><Relationship Id="rId41" Type="http://schemas.openxmlformats.org/officeDocument/2006/relationships/hyperlink" Target="https://cran.r-project.org/package=psy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