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D38"/>
          <w:sz w:val="28"/>
        </w:rPr>
        <w:t>WHOLLAR</w:t>
      </w:r>
    </w:p>
    <w:p>
      <w:pPr>
        <w:jc w:val="center"/>
      </w:pPr>
      <w:r>
        <w:rPr>
          <w:b/>
          <w:color w:val="142A20"/>
          <w:sz w:val="56"/>
        </w:rPr>
        <w:t>Landing Page Design System</w:t>
      </w:r>
    </w:p>
    <w:p>
      <w:pPr>
        <w:jc w:val="center"/>
      </w:pPr>
      <w:r>
        <w:rPr>
          <w:i/>
          <w:sz w:val="22"/>
        </w:rPr>
        <w:t>Visual system for the expanded Whollar homepage</w:t>
      </w:r>
    </w:p>
    <w:p/>
    <w:p>
      <w:pPr>
        <w:jc w:val="center"/>
      </w:pPr>
      <w:r>
        <w:rPr>
          <w:b/>
          <w:sz w:val="24"/>
        </w:rPr>
        <w:t>Design principle: warm, confident, human, editorial — with enough product clarity to make collective buying feel simple.</w:t>
      </w:r>
    </w:p>
    <w:p>
      <w:r>
        <w:br w:type="page"/>
      </w:r>
    </w:p>
    <w:p>
      <w:pPr>
        <w:pStyle w:val="Heading1"/>
      </w:pPr>
      <w:r>
        <w:t>1. Design north star</w:t>
      </w:r>
    </w:p>
    <w:p>
      <w:r>
        <w:t>The current Whollar page already establishes a warm cream background, deep green brand colour, orange accents, rounded cards, large editorial typography, and a premium consumer feel. The expanded homepage should preserve that visual language rather than redesigning it from scratch.</w:t>
      </w:r>
    </w:p>
    <w:p>
      <w:r>
        <w:rPr>
          <w:b/>
          <w:color w:val="1E4D38"/>
        </w:rPr>
        <w:t>Primary personality</w:t>
      </w:r>
      <w:r>
        <w:t>: Warm + confident + intelligent + human</w:t>
      </w:r>
    </w:p>
    <w:p>
      <w:r>
        <w:rPr>
          <w:b/>
          <w:color w:val="1E4D38"/>
        </w:rPr>
        <w:t>Avoid</w:t>
      </w:r>
      <w:r>
        <w:t>: Corporate SaaS, fintech dashboard, discount marketplace, loud e-commerce, generic startup gradients</w:t>
      </w:r>
    </w:p>
    <w:p>
      <w:r>
        <w:rPr>
          <w:b/>
          <w:color w:val="1E4D38"/>
        </w:rPr>
        <w:t>Core visual idea</w:t>
      </w:r>
      <w:r>
        <w:t>: Individual demand becoming collective buying power</w:t>
      </w:r>
    </w:p>
    <w:p>
      <w:r>
        <w:rPr>
          <w:b/>
          <w:color w:val="1E4D38"/>
        </w:rPr>
        <w:t>Visual metaphor</w:t>
      </w:r>
      <w:r>
        <w:t>: Many small signals gathering into one stronger signal</w:t>
      </w:r>
    </w:p>
    <w:p>
      <w:r>
        <w:rPr>
          <w:b/>
          <w:color w:val="1E4D38"/>
        </w:rPr>
        <w:t>Brand feeling</w:t>
      </w:r>
      <w:r>
        <w:t>: “This feels like a smart new way of buying — not a coupon site.”</w:t>
      </w:r>
    </w:p>
    <w:p>
      <w:pPr>
        <w:pStyle w:val="Heading2"/>
      </w:pPr>
      <w:r>
        <w:t>The 5 design rules</w:t>
      </w:r>
    </w:p>
    <w:p>
      <w:pPr>
        <w:pStyle w:val="ListNumber"/>
      </w:pPr>
      <w:r>
        <w:t>Lead with people and buying power, not products.</w:t>
      </w:r>
    </w:p>
    <w:p>
      <w:pPr>
        <w:pStyle w:val="ListNumber"/>
      </w:pPr>
      <w:r>
        <w:t>Use product imagery as proof, not as the brand identity.</w:t>
      </w:r>
    </w:p>
    <w:p>
      <w:pPr>
        <w:pStyle w:val="ListNumber"/>
      </w:pPr>
      <w:r>
        <w:t>Keep the interface editorial and spacious; avoid dashboard density.</w:t>
      </w:r>
    </w:p>
    <w:p>
      <w:pPr>
        <w:pStyle w:val="ListNumber"/>
      </w:pPr>
      <w:r>
        <w:t>Use orange sparingly so it remains an action/highlight colour.</w:t>
      </w:r>
    </w:p>
    <w:p>
      <w:pPr>
        <w:pStyle w:val="ListNumber"/>
      </w:pPr>
      <w:r>
        <w:t>Every major visual should reinforce the transition from one buyer → many buyers → leverage.</w:t>
      </w:r>
    </w:p>
    <w:p>
      <w:pPr>
        <w:pStyle w:val="Heading1"/>
      </w:pPr>
      <w:r>
        <w:t>2. Colour system</w:t>
      </w:r>
    </w:p>
    <w:p>
      <w:r>
        <w:t>Use a restrained palette. The current page's cream / forest-green / orange combination should remain the foundation.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4EDE2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2016"/>
            <w:vAlign w:val="center"/>
            <w:shd w:fill="E4EDE2"/>
          </w:tcPr>
          <w:p>
            <w:r/>
            <w:r>
              <w:rPr>
                <w:b/>
                <w:sz w:val="18"/>
              </w:rPr>
              <w:t>Suggested HEX</w:t>
            </w:r>
          </w:p>
        </w:tc>
        <w:tc>
          <w:tcPr>
            <w:tcW w:type="dxa" w:w="2016"/>
            <w:vAlign w:val="center"/>
            <w:shd w:fill="E4EDE2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016"/>
            <w:vAlign w:val="center"/>
            <w:shd w:fill="E4EDE2"/>
          </w:tcPr>
          <w:p>
            <w:r/>
            <w:r>
              <w:rPr>
                <w:b/>
                <w:sz w:val="18"/>
              </w:rPr>
              <w:t>Usage</w:t>
            </w:r>
          </w:p>
        </w:tc>
        <w:tc>
          <w:tcPr>
            <w:tcW w:type="dxa" w:w="2016"/>
            <w:vAlign w:val="center"/>
            <w:shd w:fill="E4EDE2"/>
          </w:tcPr>
          <w:p>
            <w:r/>
            <w:r>
              <w:rPr>
                <w:b/>
                <w:sz w:val="18"/>
              </w:rPr>
              <w:t>Do not use for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Cream / Canvas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#F7F3EA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Primary background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Hero, major sections, page canvas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Dense text blocks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Forest / Whollar Green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#214F3A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Primary brand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H1, nav, buttons, icons, key numbers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Large photographic areas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Deep Ink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#17231D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Primary text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Body, high-contrast copy, headings where needed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Decorative accents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Muted Orange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#D97832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Action/accent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CTA emphasis, category highlights, active states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Large backgrounds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Soft Sage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#E4EDE2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Secondary surface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Cards, trust blocks, supporting UI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Primary CTA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Warm Sand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#EEE6D8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Secondary surface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 cards, separators, subtle panels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Long text backgrounds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White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#FFFFFF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Contrast surface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Forms, modal cards, offer cards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Whole-page background</w:t>
            </w:r>
          </w:p>
        </w:tc>
      </w:tr>
    </w:tbl>
    <w:p>
      <w:r>
        <w:t>Implementation note: Treat these as design-system tokens rather than one-off section colours. The exact HEX values should be reconciled against the existing production CSS before implementation; the values above are a recommended controlled palette.</w:t>
      </w:r>
    </w:p>
    <w:p>
      <w:pPr>
        <w:pStyle w:val="Heading1"/>
      </w:pPr>
      <w:r>
        <w:t>3. Typography system</w:t>
      </w:r>
    </w:p>
    <w:p>
      <w:r>
        <w:t>The existing design direction uses a distinctive display typeface for headlines and a monospaced utility style for labels. Keep that contrast—it helps Whollar feel editorial and product-led.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F2E3D6"/>
          </w:tcPr>
          <w:p>
            <w:r/>
            <w:r>
              <w:rPr>
                <w:b/>
                <w:sz w:val="18"/>
              </w:rPr>
              <w:t>Style</w:t>
            </w:r>
          </w:p>
        </w:tc>
        <w:tc>
          <w:tcPr>
            <w:tcW w:type="dxa" w:w="2016"/>
            <w:vAlign w:val="center"/>
            <w:shd w:fill="F2E3D6"/>
          </w:tcPr>
          <w:p>
            <w:r/>
            <w:r>
              <w:rPr>
                <w:b/>
                <w:sz w:val="18"/>
              </w:rPr>
              <w:t>Font direction</w:t>
            </w:r>
          </w:p>
        </w:tc>
        <w:tc>
          <w:tcPr>
            <w:tcW w:type="dxa" w:w="2016"/>
            <w:vAlign w:val="center"/>
            <w:shd w:fill="F2E3D6"/>
          </w:tcPr>
          <w:p>
            <w:r/>
            <w:r>
              <w:rPr>
                <w:b/>
                <w:sz w:val="18"/>
              </w:rPr>
              <w:t>Desktop</w:t>
            </w:r>
          </w:p>
        </w:tc>
        <w:tc>
          <w:tcPr>
            <w:tcW w:type="dxa" w:w="2016"/>
            <w:vAlign w:val="center"/>
            <w:shd w:fill="F2E3D6"/>
          </w:tcPr>
          <w:p>
            <w:r/>
            <w:r>
              <w:rPr>
                <w:b/>
                <w:sz w:val="18"/>
              </w:rPr>
              <w:t>Mobile</w:t>
            </w:r>
          </w:p>
        </w:tc>
        <w:tc>
          <w:tcPr>
            <w:tcW w:type="dxa" w:w="2016"/>
            <w:vAlign w:val="center"/>
            <w:shd w:fill="F2E3D6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Display H1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Bricolage Grotesque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64–76 px, 0.95–1.0 line-height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42–50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Hero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Bricolage Grotesque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44–56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32–38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Section headlines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Bricolage Grotesque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28–34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24–28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Cards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Body Large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Inter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20–22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18–19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Hero supporting copy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Body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Inter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16–18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15–17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Explanations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Utility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Space Mono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11–13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10–12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Eyebrows, status, metadata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Button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Inter / similar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14–16 px, 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14–16 px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CTAs</w:t>
            </w:r>
          </w:p>
        </w:tc>
      </w:tr>
    </w:tbl>
    <w:p>
      <w:r>
        <w:rPr>
          <w:b/>
          <w:color w:val="1E4D38"/>
        </w:rPr>
        <w:t>Headline principle</w:t>
      </w:r>
      <w:r>
        <w:t>: Short, declarative, human.</w:t>
      </w:r>
      <w:r>
        <w:br/>
        <w:t>Prefer “Buy anything better, together.” over explanatory headlines.</w:t>
      </w:r>
    </w:p>
    <w:p>
      <w:r>
        <w:rPr>
          <w:b/>
          <w:color w:val="1E4D38"/>
        </w:rPr>
        <w:t>Body principle</w:t>
      </w:r>
      <w:r>
        <w:t>: One idea per paragraph.</w:t>
      </w:r>
      <w:r>
        <w:br/>
        <w:t>Do not make visitors parse the mechanism before they understand the benefit.</w:t>
      </w:r>
    </w:p>
    <w:p>
      <w:pPr>
        <w:pStyle w:val="Heading1"/>
      </w:pPr>
      <w:r>
        <w:t>4. Layout grid &amp; spacing</w:t>
      </w:r>
    </w:p>
    <w:p>
      <w:r>
        <w:rPr>
          <w:b/>
          <w:color w:val="1E4D38"/>
        </w:rPr>
        <w:t>Max content width</w:t>
      </w:r>
      <w:r>
        <w:t>: 1200–1280 px</w:t>
      </w:r>
      <w:r>
        <w:br/>
        <w:t>Keep major text and cards aligned to the same invisible container.</w:t>
      </w:r>
    </w:p>
    <w:p>
      <w:r>
        <w:rPr>
          <w:b/>
          <w:color w:val="1E4D38"/>
        </w:rPr>
        <w:t>Desktop side padding</w:t>
      </w:r>
      <w:r>
        <w:t>: 48–64 px</w:t>
      </w:r>
      <w:r>
        <w:br/>
        <w:t>Increase only for very wide displays.</w:t>
      </w:r>
    </w:p>
    <w:p>
      <w:r>
        <w:rPr>
          <w:b/>
          <w:color w:val="1E4D38"/>
        </w:rPr>
        <w:t>Tablet side padding</w:t>
      </w:r>
      <w:r>
        <w:t>: 32 px</w:t>
      </w:r>
    </w:p>
    <w:p>
      <w:r>
        <w:rPr>
          <w:b/>
          <w:color w:val="1E4D38"/>
        </w:rPr>
        <w:t>Mobile side padding</w:t>
      </w:r>
      <w:r>
        <w:t>: 20–24 px</w:t>
      </w:r>
    </w:p>
    <w:p>
      <w:r>
        <w:rPr>
          <w:b/>
          <w:color w:val="1E4D38"/>
        </w:rPr>
        <w:t>Grid</w:t>
      </w:r>
      <w:r>
        <w:t>: 12-column desktop / 6-column tablet / 4-column mobile</w:t>
      </w:r>
      <w:r>
        <w:br/>
        <w:t>Use 24–32 px gutters.</w:t>
      </w:r>
    </w:p>
    <w:p>
      <w:r>
        <w:rPr>
          <w:b/>
          <w:color w:val="1E4D38"/>
        </w:rPr>
        <w:t>Section spacing</w:t>
      </w:r>
      <w:r>
        <w:t>: 112–160 px desktop; 72–96 px mobile</w:t>
      </w:r>
      <w:r>
        <w:br/>
        <w:t>Major sections need breathing room.</w:t>
      </w:r>
    </w:p>
    <w:p>
      <w:r>
        <w:rPr>
          <w:b/>
          <w:color w:val="1E4D38"/>
        </w:rPr>
        <w:t>Card gap</w:t>
      </w:r>
      <w:r>
        <w:t>: 20–24 px</w:t>
      </w:r>
      <w:r>
        <w:br/>
        <w:t>Keep repeated components visually grouped.</w:t>
      </w:r>
    </w:p>
    <w:p>
      <w:r>
        <w:rPr>
          <w:b/>
          <w:color w:val="1E4D38"/>
        </w:rPr>
        <w:t>Radius</w:t>
      </w:r>
      <w:r>
        <w:t>: 20–28 px large cards; 12–16 px controls</w:t>
      </w:r>
      <w:r>
        <w:br/>
        <w:t>Avoid mixing many radius styles.</w:t>
      </w:r>
    </w:p>
    <w:p>
      <w:r>
        <w:rPr>
          <w:b/>
          <w:color w:val="1E4D38"/>
        </w:rPr>
        <w:t>Border</w:t>
      </w:r>
      <w:r>
        <w:t>: 1 px low-contrast warm neutral</w:t>
      </w:r>
      <w:r>
        <w:br/>
        <w:t>Use borders instead of heavy shadows.</w:t>
      </w:r>
    </w:p>
    <w:p>
      <w:r>
        <w:rPr>
          <w:b/>
          <w:color w:val="1E4D38"/>
        </w:rPr>
        <w:t>Shadow</w:t>
      </w:r>
      <w:r>
        <w:t>: Very subtle, only where elevation is necessary</w:t>
      </w:r>
      <w:r>
        <w:br/>
        <w:t>Cards should feel printed/physical, not floating SaaS panels.</w:t>
      </w:r>
    </w:p>
    <w:p>
      <w:r>
        <w:t>Spacing scale: 4 / 8 / 12 / 16 / 24 / 32 / 48 / 64 / 96 / 128 px. Use multiples consistently.</w:t>
      </w:r>
    </w:p>
    <w:p>
      <w:pPr>
        <w:pStyle w:val="Heading1"/>
      </w:pPr>
      <w:r>
        <w:t>5. Core component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4EDE2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E4EDE2"/>
          </w:tcPr>
          <w:p>
            <w: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Navigation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Cream canvas, Whollar wordmark left, 3–4 text links, single filled “Join Whollar” CTA right. Sticky on scroll with subtle background/border transition.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Primary CTA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Forest green fill, cream/white text, 12–16 px radius, generous horizontal padding. Hover: slight lift or darken; never neon.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Secondary CTA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Text/outline treatment. Use for “See how it works”, “Vote”, or exploration actions.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Eyebrow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Space Mono, uppercase, small tracking. Use sparingly to establish section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Product card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Large image/illustration area + short title + one-line value proposition + category CTA. Do not overload with pricing.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Future-product card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Visually distinct but same component family. Use a subtle dashed/outlined treatment to signal “not live yet.”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Step card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Large step number + short action headline + one sentence. Connect steps with a thin line or directional motion.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Offer card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 only for real/illustrative offers. Show price hierarchy clearly and label illustrative pricing.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City card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City name + live/verified participation metric + simple progress indicator. Avoid gamified casino-like styling.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Trust card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Small icon + concise promise + one-sentence explanation. Four cards maximum.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Cream/white surface, large fields, clear labels, minimal helper copy, orange/green action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Footer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Deep green or cream depending on final contrast test; keep it editorial and compact.</w:t>
            </w:r>
          </w:p>
        </w:tc>
      </w:tr>
    </w:tbl>
    <w:p>
      <w:r>
        <w:br w:type="page"/>
      </w:r>
    </w:p>
    <w:p>
      <w:pPr>
        <w:pStyle w:val="Heading1"/>
      </w:pPr>
      <w:r>
        <w:t>6. Section-by-section art direction</w:t>
      </w:r>
    </w:p>
    <w:p>
      <w:pPr>
        <w:pStyle w:val="Heading2"/>
      </w:pPr>
      <w:r>
        <w:t>01 — Hero</w:t>
      </w:r>
    </w:p>
    <w:p>
      <w:r>
        <w:rPr>
          <w:b/>
          <w:color w:val="1E4D38"/>
        </w:rPr>
        <w:t>Visual direction</w:t>
      </w:r>
      <w:r>
        <w:t>: Visual: a calm editorial composition showing multiple categories around a central Whollar mark or pooled-demand motif. Avoid making tires or an Internet router the dominant hero object. Use subtle animated dots/people converging into a group to express collective demand.</w:t>
      </w:r>
    </w:p>
    <w:p>
      <w:r>
        <w:rPr>
          <w:b/>
          <w:color w:val="1E4D38"/>
        </w:rPr>
        <w:t>Content / hierarchy</w:t>
      </w:r>
      <w:r>
        <w:t>: Hierarchy: H1 → 2–3 line explanation → Join Whollar → microcopy. Keep the first viewport calm and spacious.</w:t>
      </w:r>
    </w:p>
    <w:p>
      <w:pPr>
        <w:pStyle w:val="Heading2"/>
      </w:pPr>
      <w:r>
        <w:t>02 — What we're buying</w:t>
      </w:r>
    </w:p>
    <w:p>
      <w:r>
        <w:rPr>
          <w:b/>
          <w:color w:val="1E4D38"/>
        </w:rPr>
        <w:t>Visual direction</w:t>
      </w:r>
      <w:r>
        <w:t>: Visual: two strong product cards for Internet and Winter tires, plus a third “More coming” card. The third card should look intentional, not empty.</w:t>
      </w:r>
    </w:p>
    <w:p>
      <w:r>
        <w:rPr>
          <w:b/>
          <w:color w:val="1E4D38"/>
        </w:rPr>
        <w:t>Content / hierarchy</w:t>
      </w:r>
      <w:r>
        <w:t>: The cards are proof that the platform is real today; they are not the definition of Whollar.</w:t>
      </w:r>
    </w:p>
    <w:p>
      <w:pPr>
        <w:pStyle w:val="Heading2"/>
      </w:pPr>
      <w:r>
        <w:t>03 — How it works</w:t>
      </w:r>
    </w:p>
    <w:p>
      <w:r>
        <w:rPr>
          <w:b/>
          <w:color w:val="1E4D38"/>
        </w:rPr>
        <w:t>Visual direction</w:t>
      </w:r>
      <w:r>
        <w:t>: Visual: show individual buyers as small units that merge into a larger group, then connect to supplier/offer cards. Use motion or a scroll-triggered transformation if performance allows.</w:t>
      </w:r>
    </w:p>
    <w:p>
      <w:r>
        <w:rPr>
          <w:b/>
          <w:color w:val="1E4D38"/>
        </w:rPr>
        <w:t>Content / hierarchy</w:t>
      </w:r>
      <w:r>
        <w:t>: This is the most important explanatory visual on the page.</w:t>
      </w:r>
    </w:p>
    <w:p>
      <w:pPr>
        <w:pStyle w:val="Heading2"/>
      </w:pPr>
      <w:r>
        <w:t>04 — The bigger idea</w:t>
      </w:r>
    </w:p>
    <w:p>
      <w:r>
        <w:rPr>
          <w:b/>
          <w:color w:val="1E4D38"/>
        </w:rPr>
        <w:t>Visual direction</w:t>
      </w:r>
      <w:r>
        <w:t>: Visual: contrast a single household with a larger purchasing block. Could use a simple editorial illustration rather than stock photography.</w:t>
      </w:r>
    </w:p>
    <w:p>
      <w:r>
        <w:rPr>
          <w:b/>
          <w:color w:val="1E4D38"/>
        </w:rPr>
        <w:t>Content / hierarchy</w:t>
      </w:r>
      <w:r>
        <w:t>: This section should feel like the brand manifesto, not a product tutorial.</w:t>
      </w:r>
    </w:p>
    <w:p>
      <w:pPr>
        <w:pStyle w:val="Heading2"/>
      </w:pPr>
      <w:r>
        <w:t>05 — Proof / example</w:t>
      </w:r>
    </w:p>
    <w:p>
      <w:r>
        <w:rPr>
          <w:b/>
          <w:color w:val="1E4D38"/>
        </w:rPr>
        <w:t>Visual direction</w:t>
      </w:r>
      <w:r>
        <w:t>: Visual: one buyer → 100 buyers → group demand → supplier offers. Use real numbers only when verified; otherwise label the example clearly.</w:t>
      </w:r>
    </w:p>
    <w:p>
      <w:r>
        <w:rPr>
          <w:b/>
          <w:color w:val="1E4D38"/>
        </w:rPr>
        <w:t>Content / hierarchy</w:t>
      </w:r>
      <w:r>
        <w:t>: Make the value proposition tangible without making a savings guarantee.</w:t>
      </w:r>
    </w:p>
    <w:p>
      <w:pPr>
        <w:pStyle w:val="Heading2"/>
      </w:pPr>
      <w:r>
        <w:t>06 — What's next</w:t>
      </w:r>
    </w:p>
    <w:p>
      <w:r>
        <w:rPr>
          <w:b/>
          <w:color w:val="1E4D38"/>
        </w:rPr>
        <w:t>Visual direction</w:t>
      </w:r>
      <w:r>
        <w:t>: Visual: a horizontal/stacked set of category tiles with a subtle “coming next” treatment. Allow the user to select/vote.</w:t>
      </w:r>
    </w:p>
    <w:p>
      <w:r>
        <w:rPr>
          <w:b/>
          <w:color w:val="1E4D38"/>
        </w:rPr>
        <w:t>Content / hierarchy</w:t>
      </w:r>
      <w:r>
        <w:t>: This is where the page communicates that Whollar is a platform with an expanding surface area.</w:t>
      </w:r>
    </w:p>
    <w:p>
      <w:pPr>
        <w:pStyle w:val="Heading2"/>
      </w:pPr>
      <w:r>
        <w:t>07 — City/community</w:t>
      </w:r>
    </w:p>
    <w:p>
      <w:r>
        <w:rPr>
          <w:b/>
          <w:color w:val="1E4D38"/>
        </w:rPr>
        <w:t>Visual direction</w:t>
      </w:r>
      <w:r>
        <w:t>: Visual: restrained map or city list, not a competitive leaderboard. Use participation as evidence of demand.</w:t>
      </w:r>
    </w:p>
    <w:p>
      <w:r>
        <w:rPr>
          <w:b/>
          <w:color w:val="1E4D38"/>
        </w:rPr>
        <w:t>Content / hierarchy</w:t>
      </w:r>
      <w:r>
        <w:t>: Frame this as collective local leverage rather than a race.</w:t>
      </w:r>
    </w:p>
    <w:p>
      <w:pPr>
        <w:pStyle w:val="Heading2"/>
      </w:pPr>
      <w:r>
        <w:t>08 — Trust</w:t>
      </w:r>
    </w:p>
    <w:p>
      <w:r>
        <w:rPr>
          <w:b/>
          <w:color w:val="1E4D38"/>
        </w:rPr>
        <w:t>Visual direction</w:t>
      </w:r>
      <w:r>
        <w:t>: Visual: four simple reassurance cards with small line icons.</w:t>
      </w:r>
    </w:p>
    <w:p>
      <w:r>
        <w:rPr>
          <w:b/>
          <w:color w:val="1E4D38"/>
        </w:rPr>
        <w:t>Content / hierarchy</w:t>
      </w:r>
      <w:r>
        <w:t>: Reduce anxiety around commitment, data, transparency and control.</w:t>
      </w:r>
    </w:p>
    <w:p>
      <w:pPr>
        <w:pStyle w:val="Heading2"/>
      </w:pPr>
      <w:r>
        <w:t>09 — Final CTA</w:t>
      </w:r>
    </w:p>
    <w:p>
      <w:r>
        <w:rPr>
          <w:b/>
          <w:color w:val="1E4D38"/>
        </w:rPr>
        <w:t>Visual direction</w:t>
      </w:r>
      <w:r>
        <w:t>: Visual: return to the hero language. Use the same visual motif from the first screen, now with more density to suggest a growing network.</w:t>
      </w:r>
    </w:p>
    <w:p>
      <w:r>
        <w:rPr>
          <w:b/>
          <w:color w:val="1E4D38"/>
        </w:rPr>
        <w:t>Content / hierarchy</w:t>
      </w:r>
      <w:r>
        <w:t>: Create a satisfying narrative loop back to “Buy anything better, together.”</w:t>
      </w:r>
    </w:p>
    <w:p>
      <w:pPr>
        <w:pStyle w:val="Heading1"/>
      </w:pPr>
      <w:r>
        <w:t>7. Photography &amp; illustration system</w:t>
      </w:r>
    </w:p>
    <w:p>
      <w:pPr>
        <w:pStyle w:val="ListBullet"/>
      </w:pPr>
      <w:r>
        <w:t>People should look like real Canadian households and neighbourhoods, not generic corporate stock photography.</w:t>
      </w:r>
    </w:p>
    <w:p>
      <w:pPr>
        <w:pStyle w:val="ListBullet"/>
      </w:pPr>
      <w:r>
        <w:t>Prefer natural daylight, candid framing, practical environments and everyday objects.</w:t>
      </w:r>
    </w:p>
    <w:p>
      <w:pPr>
        <w:pStyle w:val="ListBullet"/>
      </w:pPr>
      <w:r>
        <w:t>Use category photography for product proof: cars/tires, home connectivity, home services, etc.</w:t>
      </w:r>
    </w:p>
    <w:p>
      <w:pPr>
        <w:pStyle w:val="ListBullet"/>
      </w:pPr>
      <w:r>
        <w:t>Avoid overly polished product renders that make Whollar feel like an e-commerce marketplace.</w:t>
      </w:r>
    </w:p>
    <w:p>
      <w:pPr>
        <w:pStyle w:val="ListBullet"/>
      </w:pPr>
      <w:r>
        <w:t>Illustrations should use the Whollar palette and simple organic geometry.</w:t>
      </w:r>
    </w:p>
    <w:p>
      <w:pPr>
        <w:pStyle w:val="ListBullet"/>
      </w:pPr>
      <w:r>
        <w:t>A recurring visual motif can be dots, people, cards or household icons converging into one larger group.</w:t>
      </w:r>
    </w:p>
    <w:p>
      <w:pPr>
        <w:pStyle w:val="ListBullet"/>
      </w:pPr>
      <w:r>
        <w:t>When showing price comparisons, make the visual hierarchy about group demand rather than “SALE” language.</w:t>
      </w:r>
    </w:p>
    <w:p>
      <w:pPr>
        <w:pStyle w:val="Heading1"/>
      </w:pPr>
      <w:r>
        <w:t>8. Motion &amp; interaction</w:t>
      </w:r>
    </w:p>
    <w:p>
      <w:r>
        <w:rPr>
          <w:b/>
          <w:color w:val="1E4D38"/>
        </w:rPr>
        <w:t>Motion personality</w:t>
      </w:r>
      <w:r>
        <w:t>: Quiet, purposeful, physical</w:t>
      </w:r>
      <w:r>
        <w:br/>
        <w:t>Think editorial website + premium consumer product, not gaming.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E3D6"/>
          </w:tcPr>
          <w:p>
            <w:r/>
            <w:r>
              <w:rPr>
                <w:b/>
                <w:sz w:val="18"/>
              </w:rPr>
              <w:t>Interaction</w:t>
            </w:r>
          </w:p>
        </w:tc>
        <w:tc>
          <w:tcPr>
            <w:tcW w:type="dxa" w:w="5040"/>
            <w:vAlign w:val="center"/>
            <w:shd w:fill="F2E3D6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Page entrance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Fade/translate 8–16 px; 400–600 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CTA hover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100–180 ms; slight lift or background shift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Cards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Subtle 4–8 px lift or image zoom; avoid exaggerated parallax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Pooling animation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Individual dots/people converge into one group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How-it-works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Scroll progression can transform 1 → 10 → 100 buyers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Future products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Small reveal/slide when a category is selected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City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Count-up only if numbers are live and meaningful</w:t>
            </w:r>
          </w:p>
        </w:tc>
      </w:tr>
    </w:tbl>
    <w:p>
      <w:pPr>
        <w:pStyle w:val="Heading1"/>
      </w:pPr>
      <w:r>
        <w:t>9. Responsive behaviour</w:t>
      </w:r>
    </w:p>
    <w:p>
      <w:pPr>
        <w:pStyle w:val="ListBullet"/>
      </w:pPr>
      <w:r>
        <w:t>Mobile hero should remain one clear idea: H1 + short explanation + one CTA. Do not stack multiple product CTAs above the fold.</w:t>
      </w:r>
    </w:p>
    <w:p>
      <w:pPr>
        <w:pStyle w:val="ListBullet"/>
      </w:pPr>
      <w:r>
        <w:t>Product cards become a vertical or horizontally scrollable sequence; keep the “More coming” card visible.</w:t>
      </w:r>
    </w:p>
    <w:p>
      <w:pPr>
        <w:pStyle w:val="ListBullet"/>
      </w:pPr>
      <w:r>
        <w:t>The pooling/how-it-works animation should degrade gracefully into four static steps.</w:t>
      </w:r>
    </w:p>
    <w:p>
      <w:pPr>
        <w:pStyle w:val="ListBullet"/>
      </w:pPr>
      <w:r>
        <w:t>City data should become a compact list rather than a dense map if the map reduces readability.</w:t>
      </w:r>
    </w:p>
    <w:p>
      <w:pPr>
        <w:pStyle w:val="ListBullet"/>
      </w:pPr>
      <w:r>
        <w:t>Keep buttons thumb-friendly: target height approximately 48 px or more.</w:t>
      </w:r>
    </w:p>
    <w:p>
      <w:pPr>
        <w:pStyle w:val="ListBullet"/>
      </w:pPr>
      <w:r>
        <w:t>Never allow headlines to become 4–5 lines because of oversized typography; reduce font size before reducing container width.</w:t>
      </w:r>
    </w:p>
    <w:p>
      <w:pPr>
        <w:pStyle w:val="Heading1"/>
      </w:pPr>
      <w:r>
        <w:t>10. Accessibility &amp; usability rules</w:t>
      </w:r>
    </w:p>
    <w:p>
      <w:pPr>
        <w:pStyle w:val="ListBullet"/>
      </w:pPr>
      <w:r>
        <w:t>Maintain WCAG-conscious contrast for body text and buttons.</w:t>
      </w:r>
    </w:p>
    <w:p>
      <w:pPr>
        <w:pStyle w:val="ListBullet"/>
      </w:pPr>
      <w:r>
        <w:t>Never communicate category/status using colour alone.</w:t>
      </w:r>
    </w:p>
    <w:p>
      <w:pPr>
        <w:pStyle w:val="ListBullet"/>
      </w:pPr>
      <w:r>
        <w:t>All motion must respect prefers-reduced-motion.</w:t>
      </w:r>
    </w:p>
    <w:p>
      <w:pPr>
        <w:pStyle w:val="ListBullet"/>
      </w:pPr>
      <w:r>
        <w:t>Buttons must state the action clearly: “Join Whollar”, “Join the tire group”, “Vote for what comes next”.</w:t>
      </w:r>
    </w:p>
    <w:p>
      <w:pPr>
        <w:pStyle w:val="ListBullet"/>
      </w:pPr>
      <w:r>
        <w:t>Forms should use visible labels, not placeholder-only labels.</w:t>
      </w:r>
    </w:p>
    <w:p>
      <w:pPr>
        <w:pStyle w:val="ListBullet"/>
      </w:pPr>
      <w:r>
        <w:t>Do not use very small mono text for essential information.</w:t>
      </w:r>
    </w:p>
    <w:p>
      <w:pPr>
        <w:pStyle w:val="ListBullet"/>
      </w:pPr>
      <w:r>
        <w:t>Images should have useful alt text where they convey meaning; decorative images should be marked decorative.</w:t>
      </w:r>
    </w:p>
    <w:p>
      <w:pPr>
        <w:pStyle w:val="Heading1"/>
      </w:pPr>
      <w:r>
        <w:t>11. Content hierarchy mapped to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4EDE2"/>
          </w:tcPr>
          <w:p>
            <w:r/>
            <w:r>
              <w:rPr>
                <w:b/>
                <w:sz w:val="18"/>
              </w:rPr>
              <w:t>Message</w:t>
            </w:r>
          </w:p>
        </w:tc>
        <w:tc>
          <w:tcPr>
            <w:tcW w:type="dxa" w:w="2520"/>
            <w:vAlign w:val="center"/>
            <w:shd w:fill="E4EDE2"/>
          </w:tcPr>
          <w:p>
            <w:r/>
            <w:r>
              <w:rPr>
                <w:b/>
                <w:sz w:val="18"/>
              </w:rPr>
              <w:t>Visual treatment</w:t>
            </w:r>
          </w:p>
        </w:tc>
        <w:tc>
          <w:tcPr>
            <w:tcW w:type="dxa" w:w="2520"/>
            <w:vAlign w:val="center"/>
            <w:shd w:fill="E4EDE2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520"/>
            <w:vAlign w:val="center"/>
            <w:shd w:fill="E4EDE2"/>
          </w:tcPr>
          <w:p>
            <w:r/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Whollar is a new buying layer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Large editorial headline + calm hero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Highest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Hero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Collective demand creates leverage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Pooling animation / diagram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Very 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How it works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Internet + tires are live examples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Product cards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Screen 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You stay in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Trust cards / offer 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Medium-high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Trust + offers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Many more categories are coming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Future product grid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What's next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Your city can create demand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Participation list/map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Community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Join Whollar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Single strong CTA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Highest action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Hero + final</w:t>
            </w:r>
          </w:p>
        </w:tc>
      </w:tr>
    </w:tbl>
    <w:p>
      <w:pPr>
        <w:pStyle w:val="Heading1"/>
      </w:pPr>
      <w:r>
        <w:t>12. Visual anti-patterns</w:t>
      </w:r>
    </w:p>
    <w:p>
      <w:pPr>
        <w:pStyle w:val="ListBullet"/>
      </w:pPr>
      <w:r>
        <w:t>Do not use blue/purple SaaS gradients.</w:t>
      </w:r>
    </w:p>
    <w:p>
      <w:pPr>
        <w:pStyle w:val="ListBullet"/>
      </w:pPr>
      <w:r>
        <w:t>Do not turn the homepage into a pricing comparison table.</w:t>
      </w:r>
    </w:p>
    <w:p>
      <w:pPr>
        <w:pStyle w:val="ListBullet"/>
      </w:pPr>
      <w:r>
        <w:t>Do not use oversized tire imagery in the hero; that would lock the brand into one category.</w:t>
      </w:r>
    </w:p>
    <w:p>
      <w:pPr>
        <w:pStyle w:val="ListBullet"/>
      </w:pPr>
      <w:r>
        <w:t>Do not create a wall of rounded cards with no hierarchy.</w:t>
      </w:r>
    </w:p>
    <w:p>
      <w:pPr>
        <w:pStyle w:val="ListBullet"/>
      </w:pPr>
      <w:r>
        <w:t>Do not use orange for every CTA; reserve it for moments that need attention.</w:t>
      </w:r>
    </w:p>
    <w:p>
      <w:pPr>
        <w:pStyle w:val="ListBullet"/>
      </w:pPr>
      <w:r>
        <w:t>Do not use a leaderboard aesthetic for city participation.</w:t>
      </w:r>
    </w:p>
    <w:p>
      <w:pPr>
        <w:pStyle w:val="ListBullet"/>
      </w:pPr>
      <w:r>
        <w:t>Do not put long paragraphs inside cards.</w:t>
      </w:r>
    </w:p>
    <w:p>
      <w:pPr>
        <w:pStyle w:val="ListBullet"/>
      </w:pPr>
      <w:r>
        <w:t>Do not introduce too many icon styles.</w:t>
      </w:r>
    </w:p>
    <w:p>
      <w:pPr>
        <w:pStyle w:val="ListBullet"/>
      </w:pPr>
      <w:r>
        <w:t>Do not make every section visually different; reuse a small set of components to build recognition.</w:t>
      </w:r>
    </w:p>
    <w:p>
      <w:pPr>
        <w:pStyle w:val="Heading1"/>
      </w:pPr>
      <w:r>
        <w:t>13. Developer handoff / token checklist</w:t>
      </w:r>
    </w:p>
    <w:p>
      <w:pPr>
        <w:pStyle w:val="ListBullet"/>
      </w:pPr>
      <w:r>
        <w:t>Create CSS variables for every colour token.</w:t>
      </w:r>
    </w:p>
    <w:p>
      <w:pPr>
        <w:pStyle w:val="ListBullet"/>
      </w:pPr>
      <w:r>
        <w:t>Create typography classes for H1/H2/H3/body/utility/button.</w:t>
      </w:r>
    </w:p>
    <w:p>
      <w:pPr>
        <w:pStyle w:val="ListBullet"/>
      </w:pPr>
      <w:r>
        <w:t>Create reusable container, section, card, button, badge, form and footer components.</w:t>
      </w:r>
    </w:p>
    <w:p>
      <w:pPr>
        <w:pStyle w:val="ListBullet"/>
      </w:pPr>
      <w:r>
        <w:t>Use one spacing scale rather than arbitrary margins.</w:t>
      </w:r>
    </w:p>
    <w:p>
      <w:pPr>
        <w:pStyle w:val="ListBullet"/>
      </w:pPr>
      <w:r>
        <w:t>Use one radius scale.</w:t>
      </w:r>
    </w:p>
    <w:p>
      <w:pPr>
        <w:pStyle w:val="ListBullet"/>
      </w:pPr>
      <w:r>
        <w:t>Create hover/focus/active/disabled states for every interactive element.</w:t>
      </w:r>
    </w:p>
    <w:p>
      <w:pPr>
        <w:pStyle w:val="ListBullet"/>
      </w:pPr>
      <w:r>
        <w:t>Build mobile-first breakpoints and test at 320, 375, 768, 1024 and 1440 px widths.</w:t>
      </w:r>
    </w:p>
    <w:p>
      <w:pPr>
        <w:pStyle w:val="ListBullet"/>
      </w:pPr>
      <w:r>
        <w:t>Keep all live product/city counts data-driven.</w:t>
      </w:r>
    </w:p>
    <w:p>
      <w:pPr>
        <w:pStyle w:val="ListBullet"/>
      </w:pPr>
      <w:r>
        <w:t>Make illustrative pricing explicitly labelled.</w:t>
      </w:r>
    </w:p>
    <w:p>
      <w:pPr>
        <w:pStyle w:val="ListBullet"/>
      </w:pPr>
      <w:r>
        <w:t>Ensure the final CTA component is the same component as the hero CTA, with contextual label variants.</w:t>
      </w:r>
    </w:p>
    <w:p>
      <w:pPr>
        <w:pStyle w:val="Heading1"/>
      </w:pPr>
      <w:r>
        <w:t>14. The 10-second design test</w:t>
      </w:r>
    </w:p>
    <w:p>
      <w:r>
        <w:t>Someone who has never heard of Whollar should be able to answer these questions after looking at the first two screens:</w:t>
      </w:r>
    </w:p>
    <w:p>
      <w:pPr>
        <w:pStyle w:val="ListNumber"/>
      </w:pPr>
      <w:r>
        <w:t>What is Whollar? — A new way to buy through collective demand.</w:t>
      </w:r>
    </w:p>
    <w:p>
      <w:pPr>
        <w:pStyle w:val="ListNumber"/>
      </w:pPr>
      <w:r>
        <w:t>Why should I care? — Groups can create buying power and better offers.</w:t>
      </w:r>
    </w:p>
    <w:p>
      <w:pPr>
        <w:pStyle w:val="ListNumber"/>
      </w:pPr>
      <w:r>
        <w:t>What can I use it for today? — Internet and winter tires.</w:t>
      </w:r>
    </w:p>
    <w:p>
      <w:pPr>
        <w:pStyle w:val="ListNumber"/>
      </w:pPr>
      <w:r>
        <w:t>Is this only for those two things? — No; more categories are being built.</w:t>
      </w:r>
    </w:p>
    <w:p>
      <w:pPr>
        <w:pStyle w:val="ListNumber"/>
      </w:pPr>
      <w:r>
        <w:t>What do I do next? — Join Whollar / join a relevant buying group.</w:t>
      </w:r>
    </w:p>
    <w:p>
      <w:r>
        <w:t>If the design passes those five questions without requiring the user to scroll through explanatory copy, the top of the landing page is doing its job.</w:t>
      </w:r>
    </w:p>
    <w:p/>
    <w:p>
      <w:pPr>
        <w:jc w:val="center"/>
      </w:pPr>
      <w:r>
        <w:rPr>
          <w:b/>
          <w:color w:val="1E4D38"/>
        </w:rPr>
        <w:t>WHOLLAR  •  BUYING POWER, POOLED.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