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0"/>
      </w:pPr>
      <w:r>
        <w:t xml:space="preserve">MediCost Lab</w:t>
      </w:r>
    </w:p>
    <w:p>
      <w:pPr>
        <w:spacing w:after="400"/>
      </w:pPr>
      <w:r>
        <w:rPr>
          <w:color w:val="14213D"/>
          <w:sz w:val="32"/>
          <w:szCs w:val="32"/>
        </w:rPr>
        <w:t xml:space="preserve">Application screenshots: every page and tab</w:t>
      </w:r>
    </w:p>
    <w:p>
      <w:pPr>
        <w:spacing w:after="120"/>
      </w:pPr>
      <w:r>
        <w:rPr>
          <w:sz w:val="24"/>
          <w:szCs w:val="24"/>
        </w:rPr>
        <w:t xml:space="preserve">Machine Learning course project, Unit 2: Linear Models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Team: </w:t>
      </w:r>
      <w:r>
        <w:rPr>
          <w:sz w:val="24"/>
          <w:szCs w:val="24"/>
        </w:rPr>
        <w:t xml:space="preserve">Priyanshu, Ashish Kumar, Salil Pratap Singh, Vedang Pratap Singh</w:t>
      </w:r>
    </w:p>
    <w:p>
      <w:pPr>
        <w:spacing w:after="600"/>
      </w:pPr>
      <w:r>
        <w:rPr>
          <w:color w:val="5B6B73"/>
          <w:sz w:val="22"/>
          <w:szCs w:val="22"/>
        </w:rPr>
        <w:t xml:space="preserve">Data: kaggle.com/datasets/mirichoi0218/insurance</w:t>
      </w:r>
    </w:p>
    <w:p>
      <w:pPr>
        <w:spacing w:after="120"/>
      </w:pPr>
      <w:r>
        <w:rPr>
          <w:sz w:val="22"/>
          <w:szCs w:val="22"/>
        </w:rPr>
        <w:t xml:space="preserve">The app is built with Streamlit and has a landing page plus seven numbered pages. The Data page has two tabs, each shown separately. Long pages are split across two screenshots.</w:t>
      </w:r>
    </w:p>
    <w:p>
      <w:pPr>
        <w:pStyle w:val="Heading1"/>
        <w:pageBreakBefore/>
      </w:pPr>
      <w: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Landing page with headline figures, the two prediction tasks and the Unit 2 syllabus map.</w:t>
      </w:r>
    </w:p>
    <w:p>
      <w:pPr>
        <w:spacing w:after="80"/>
        <w:jc w:val="center"/>
      </w:pPr>
      <w:r>
        <w:drawing>
          <wp:inline distT="0" distB="0" distL="0" distR="0">
            <wp:extent cx="6143625" cy="4733925"/>
            <wp:effectExtent t="0" r="0" b="0" l="0"/>
            <wp:docPr id="1" name="00_overview_1.png" descr="Landing page with headline figures, the two prediction tasks and the Unit 2 syllabus map." title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1. Overview</w:t>
      </w:r>
    </w:p>
    <w:p>
      <w:pPr>
        <w:pStyle w:val="Heading1"/>
        <w:pageBreakBefore/>
      </w:pPr>
      <w:r>
        <w:t xml:space="preserve">1 · Data: Table and summary tab</w:t>
      </w:r>
    </w:p>
    <w:p>
      <w:pPr>
        <w:spacing w:after="160"/>
      </w:pPr>
      <w:r>
        <w:rPr>
          <w:sz w:val="22"/>
          <w:szCs w:val="22"/>
        </w:rPr>
        <w:t xml:space="preserve">The dataset table, the column dictionary and summary statistics.</w:t>
      </w:r>
    </w:p>
    <w:p>
      <w:pPr>
        <w:spacing w:after="80"/>
        <w:jc w:val="center"/>
      </w:pPr>
      <w:r>
        <w:drawing>
          <wp:inline distT="0" distB="0" distL="0" distR="0">
            <wp:extent cx="6143625" cy="6115050"/>
            <wp:effectExtent t="0" r="0" b="0" l="0"/>
            <wp:docPr id="1" name="01a_data_table_1.png" descr="The dataset table, the column dictionary and summary statistics." title="1 · Data: Table and summary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2. 1 · Data: Table and summary tab</w:t>
      </w:r>
    </w:p>
    <w:p>
      <w:pPr>
        <w:pStyle w:val="Heading1"/>
        <w:pageBreakBefore/>
      </w:pPr>
      <w:r>
        <w:t xml:space="preserve">1 · Data: What drives the bill tab</w:t>
      </w:r>
    </w:p>
    <w:p>
      <w:pPr>
        <w:spacing w:after="160"/>
      </w:pPr>
      <w:r>
        <w:rPr>
          <w:sz w:val="22"/>
          <w:szCs w:val="22"/>
        </w:rPr>
        <w:t xml:space="preserve">Charges against age and BMI, coloured by smoker, showing the smoker and BMI interaction.</w:t>
      </w:r>
    </w:p>
    <w:p>
      <w:pPr>
        <w:spacing w:after="80"/>
        <w:jc w:val="center"/>
      </w:pPr>
      <w:r>
        <w:drawing>
          <wp:inline distT="0" distB="0" distL="0" distR="0">
            <wp:extent cx="6143625" cy="4438650"/>
            <wp:effectExtent t="0" r="0" b="0" l="0"/>
            <wp:docPr id="1" name="01b_data_drivers_1.png" descr="Charges against age and BMI, coloured by smoker, showing the smoker and BMI interaction." title="1 · Data: What drives the bill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3. 1 · Data: What drives the bill tab</w:t>
      </w:r>
    </w:p>
    <w:p>
      <w:pPr>
        <w:pStyle w:val="Heading1"/>
        <w:pageBreakBefore/>
      </w:pPr>
      <w:r>
        <w:t xml:space="preserve">2 · Least squares and MLE</w:t>
      </w:r>
    </w:p>
    <w:p>
      <w:pPr>
        <w:spacing w:after="160"/>
      </w:pPr>
      <w:r>
        <w:rPr>
          <w:sz w:val="22"/>
          <w:szCs w:val="22"/>
        </w:rPr>
        <w:t xml:space="preserve">An interactive demonstration that the least squares slope maximises the Gaussian likelihood, followed by the full six-feature model, its weights and residuals.</w:t>
      </w:r>
    </w:p>
    <w:p>
      <w:pPr>
        <w:spacing w:after="80"/>
        <w:jc w:val="center"/>
      </w:pPr>
      <w:r>
        <w:drawing>
          <wp:inline distT="0" distB="0" distL="0" distR="0">
            <wp:extent cx="5972175" cy="7620000"/>
            <wp:effectExtent t="0" r="0" b="0" l="0"/>
            <wp:docPr id="1" name="02_mle_1.png" descr="An interactive demonstration that the least squares slope maximises the Gaussian likelihood, followed by the full six-feature model, its weights and residuals." title="2 · Least squares and M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4. 2 · Least squares and MLE</w:t>
      </w:r>
    </w:p>
    <w:p>
      <w:pPr>
        <w:pStyle w:val="Heading1"/>
        <w:pageBreakBefore/>
      </w:pPr>
      <w:r>
        <w:t xml:space="preserve">3 · Robust, ridge, Bayesian</w:t>
      </w:r>
    </w:p>
    <w:p>
      <w:pPr>
        <w:spacing w:after="160"/>
      </w:pPr>
      <w:r>
        <w:rPr>
          <w:sz w:val="22"/>
          <w:szCs w:val="22"/>
        </w:rPr>
        <w:t xml:space="preserve">Test results for all regression models, the corrupted-bills experiment for robust regression, ridge coefficient paths and Bayesian predictive intervals.</w:t>
      </w:r>
    </w:p>
    <w:p>
      <w:pPr>
        <w:spacing w:after="80"/>
        <w:jc w:val="center"/>
      </w:pPr>
      <w:r>
        <w:drawing>
          <wp:inline distT="0" distB="0" distL="0" distR="0">
            <wp:extent cx="6143625" cy="3810000"/>
            <wp:effectExtent t="0" r="0" b="0" l="0"/>
            <wp:docPr id="1" name="03_robust_1.png" descr="Test results for all regression models, the corrupted-bills experiment for robust regression, ridge coefficient paths and Bayesian predictive intervals." title="3 · Robust, ridge, Bayes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5. 3 · Robust, ridge, Bayesian (part 1 of 2)</w:t>
      </w:r>
    </w:p>
    <w:p>
      <w:pPr>
        <w:pageBreakBefore/>
        <w:spacing w:after="80"/>
        <w:jc w:val="center"/>
      </w:pPr>
      <w:r>
        <w:drawing>
          <wp:inline distT="0" distB="0" distL="0" distR="0">
            <wp:extent cx="6143625" cy="4543425"/>
            <wp:effectExtent t="0" r="0" b="0" l="0"/>
            <wp:docPr id="1" name="03_robust_2.png" descr="Test results for all regression models, the corrupted-bills experiment for robust regression, ridge coefficient paths and Bayesian predictive intervals." title="3 · Robust, ridge, Bayes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6. 3 · Robust, ridge, Bayesian (part 2 of 2)</w:t>
      </w:r>
    </w:p>
    <w:p>
      <w:pPr>
        <w:pStyle w:val="Heading1"/>
        <w:pageBreakBefore/>
      </w:pPr>
      <w:r>
        <w:t xml:space="preserve">4 · Classifiers</w:t>
      </w:r>
    </w:p>
    <w:p>
      <w:pPr>
        <w:spacing w:after="160"/>
      </w:pPr>
      <w:r>
        <w:rPr>
          <w:sz w:val="22"/>
          <w:szCs w:val="22"/>
        </w:rPr>
        <w:t xml:space="preserve">Eight classifiers compared, with ROC curves, a confusion matrix and the Naive Bayes calibration analysis.</w:t>
      </w:r>
    </w:p>
    <w:p>
      <w:pPr>
        <w:spacing w:after="80"/>
        <w:jc w:val="center"/>
      </w:pPr>
      <w:r>
        <w:drawing>
          <wp:inline distT="0" distB="0" distL="0" distR="0">
            <wp:extent cx="6143625" cy="4600575"/>
            <wp:effectExtent t="0" r="0" b="0" l="0"/>
            <wp:docPr id="1" name="04_classifiers_1.png" descr="Eight classifiers compared, with ROC curves, a confusion matrix and the Naive Bayes calibration analysis." title="4 · Classif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7. 4 · Classifiers (part 1 of 2)</w:t>
      </w:r>
    </w:p>
    <w:p>
      <w:pPr>
        <w:pageBreakBefore/>
        <w:spacing w:after="80"/>
        <w:jc w:val="center"/>
      </w:pPr>
      <w:r>
        <w:drawing>
          <wp:inline distT="0" distB="0" distL="0" distR="0">
            <wp:extent cx="6143625" cy="4838700"/>
            <wp:effectExtent t="0" r="0" b="0" l="0"/>
            <wp:docPr id="1" name="04_classifiers_2.png" descr="Eight classifiers compared, with ROC curves, a confusion matrix and the Naive Bayes calibration analysis." title="4 · Classif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8. 4 · Classifiers (part 2 of 2)</w:t>
      </w:r>
    </w:p>
    <w:p>
      <w:pPr>
        <w:pStyle w:val="Heading1"/>
        <w:pageBreakBefore/>
      </w:pPr>
      <w:r>
        <w:t xml:space="preserve">5 · Laplace approximation</w:t>
      </w:r>
    </w:p>
    <w:p>
      <w:pPr>
        <w:spacing w:after="160"/>
      </w:pPr>
      <w:r>
        <w:rPr>
          <w:sz w:val="22"/>
          <w:szCs w:val="22"/>
        </w:rPr>
        <w:t xml:space="preserve">Bayesian logistic regression with the Laplace approximation: point estimate against Bayesian prediction, and posterior weight uncertainty.</w:t>
      </w:r>
    </w:p>
    <w:p>
      <w:pPr>
        <w:spacing w:after="80"/>
        <w:jc w:val="center"/>
      </w:pPr>
      <w:r>
        <w:drawing>
          <wp:inline distT="0" distB="0" distL="0" distR="0">
            <wp:extent cx="6143625" cy="5867400"/>
            <wp:effectExtent t="0" r="0" b="0" l="0"/>
            <wp:docPr id="1" name="05_laplace_1.png" descr="Bayesian logistic regression with the Laplace approximation: point estimate against Bayesian prediction, and posterior weight uncertainty." title="5 · Laplace approxi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9. 5 · Laplace approximation</w:t>
      </w:r>
    </w:p>
    <w:p>
      <w:pPr>
        <w:pStyle w:val="Heading1"/>
        <w:pageBreakBefore/>
      </w:pPr>
      <w:r>
        <w:t xml:space="preserve">6 · Kernels and SVM</w:t>
      </w:r>
    </w:p>
    <w:p>
      <w:pPr>
        <w:spacing w:after="160"/>
      </w:pPr>
      <w:r>
        <w:rPr>
          <w:sz w:val="22"/>
          <w:szCs w:val="22"/>
        </w:rPr>
        <w:t xml:space="preserve">Kernel ridge regression with three kernels on smokers, and an SVM decision boundary on age and BMI.</w:t>
      </w:r>
    </w:p>
    <w:p>
      <w:pPr>
        <w:spacing w:after="80"/>
        <w:jc w:val="center"/>
      </w:pPr>
      <w:r>
        <w:drawing>
          <wp:inline distT="0" distB="0" distL="0" distR="0">
            <wp:extent cx="6143625" cy="4362450"/>
            <wp:effectExtent t="0" r="0" b="0" l="0"/>
            <wp:docPr id="1" name="06_kernels_1.png" descr="Kernel ridge regression with three kernels on smokers, and an SVM decision boundary on age and BMI." title="6 · Kernels and S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10. 6 · Kernels and SVM (part 1 of 2)</w:t>
      </w:r>
    </w:p>
    <w:p>
      <w:pPr>
        <w:pageBreakBefore/>
        <w:spacing w:after="80"/>
        <w:jc w:val="center"/>
      </w:pPr>
      <w:r>
        <w:drawing>
          <wp:inline distT="0" distB="0" distL="0" distR="0">
            <wp:extent cx="6143625" cy="4371975"/>
            <wp:effectExtent t="0" r="0" b="0" l="0"/>
            <wp:docPr id="1" name="06_kernels_2.png" descr="Kernel ridge regression with three kernels on smokers, and an SVM decision boundary on age and BMI." title="6 · Kernels and S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11. 6 · Kernels and SVM (part 2 of 2)</w:t>
      </w:r>
    </w:p>
    <w:p>
      <w:pPr>
        <w:pStyle w:val="Heading1"/>
        <w:pageBreakBefore/>
      </w:pPr>
      <w:r>
        <w:t xml:space="preserve">7 · Cost predictor</w:t>
      </w:r>
    </w:p>
    <w:p>
      <w:pPr>
        <w:spacing w:after="160"/>
      </w:pPr>
      <w:r>
        <w:rPr>
          <w:sz w:val="22"/>
          <w:szCs w:val="22"/>
        </w:rPr>
        <w:t xml:space="preserve">The customer form with each regression estimate and each classifier probability for a 35-year-old smoker.</w:t>
      </w:r>
    </w:p>
    <w:p>
      <w:pPr>
        <w:spacing w:after="80"/>
        <w:jc w:val="center"/>
      </w:pPr>
      <w:r>
        <w:drawing>
          <wp:inline distT="0" distB="0" distL="0" distR="0">
            <wp:extent cx="6143625" cy="5572125"/>
            <wp:effectExtent t="0" r="0" b="0" l="0"/>
            <wp:docPr id="1" name="07_predictor_1.png" descr="The customer form with each regression estimate and each classifier probability for a 35-year-old smoker." title="7 · Cost predi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B6B73"/>
          <w:sz w:val="18"/>
          <w:szCs w:val="18"/>
        </w:rPr>
        <w:t xml:space="preserve">Figure 12. 7 · Cost predictor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3"/>
        <w:sz w:val="18"/>
        <w:szCs w:val="18"/>
      </w:rPr>
      <w:t xml:space="preserve">MediCost Lab  |  Page </w:t>
    </w:r>
    <w:r>
      <w:rPr>
        <w:color w:val="5B6B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mbria" w:cs="Cambria" w:eastAsia="Cambria" w:hAnsi="Cambria"/>
      <w:b/>
      <w:bCs/>
      <w:color w:val="14213D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mbria" w:cs="Cambria" w:eastAsia="Cambria" w:hAnsi="Cambria"/>
      <w:b/>
      <w:bCs/>
      <w:color w:val="1421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fbc083654be3e5e7b401cd4cb1bbd6f779d91c.png"/><Relationship Id="rId9" Type="http://schemas.openxmlformats.org/officeDocument/2006/relationships/image" Target="media/46036a87c32c4c9685ac3c9dba5deea0f1991f1d.png"/><Relationship Id="rId10" Type="http://schemas.openxmlformats.org/officeDocument/2006/relationships/image" Target="media/beed325d7541671b39d39073dbcea3addc6969c1.png"/><Relationship Id="rId11" Type="http://schemas.openxmlformats.org/officeDocument/2006/relationships/image" Target="media/a0907399a8f7f36ab1f74c2151f6614a6254d7ba.png"/><Relationship Id="rId12" Type="http://schemas.openxmlformats.org/officeDocument/2006/relationships/image" Target="media/fa223251069e715f55bd993a4cb92347314c443a.png"/><Relationship Id="rId13" Type="http://schemas.openxmlformats.org/officeDocument/2006/relationships/image" Target="media/b880614687a241674b115f7336f208b1e6086ac6.png"/><Relationship Id="rId14" Type="http://schemas.openxmlformats.org/officeDocument/2006/relationships/image" Target="media/5edf426537f41c455a086dcbc9cb368f456a2faa.png"/><Relationship Id="rId15" Type="http://schemas.openxmlformats.org/officeDocument/2006/relationships/image" Target="media/30d2b6fc3832e2183a5ab70f8c3ad5ec0600a5b4.png"/><Relationship Id="rId16" Type="http://schemas.openxmlformats.org/officeDocument/2006/relationships/image" Target="media/fa3acd239e7f4fc1af844751cade7a38fdcf02f1.png"/><Relationship Id="rId17" Type="http://schemas.openxmlformats.org/officeDocument/2006/relationships/image" Target="media/2f41f28bed447700dd59111951116ba77c640bda.png"/><Relationship Id="rId18" Type="http://schemas.openxmlformats.org/officeDocument/2006/relationships/image" Target="media/c8d4b7ff5bc41347a3284a27747373f8ffce6b04.png"/><Relationship Id="rId19" Type="http://schemas.openxmlformats.org/officeDocument/2006/relationships/image" Target="media/8cb66fe4838d2da0c4f29d4e83c3cbe03bc4fc6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MediCost Lab: application screenshots</dc:title>
  <dc:creator>Priyanshu, Ashish Kumar, Salil Pratap Singh, Vedang Pratap Singh</dc:creator>
  <cp:lastModifiedBy>Un-named</cp:lastModifiedBy>
  <cp:revision>1</cp:revision>
  <dcterms:created xsi:type="dcterms:W3CDTF">2026-10-04T11:14:27.172Z</dcterms:created>
  <dcterms:modified xsi:type="dcterms:W3CDTF">2026-10-04T11:14:27.172Z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