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82B49"/>
          <w:sz w:val="48"/>
        </w:rPr>
        <w:t>P2P Audit System – Q2 Data Compatibility Report</w:t>
      </w:r>
    </w:p>
    <w:p>
      <w:pPr>
        <w:spacing w:after="360"/>
      </w:pPr>
      <w:r>
        <w:rPr>
          <w:i/>
          <w:color w:val="646E78"/>
          <w:sz w:val="26"/>
        </w:rPr>
        <w:t>Comprehensive Verification of Q2 Input Files &amp; Analysis Logic</w:t>
      </w:r>
    </w:p>
    <w:p>
      <w:pPr>
        <w:spacing w:after="360"/>
      </w:pPr>
      <w:r>
        <w:rPr>
          <w:color w:val="C8CDD2"/>
        </w:rPr>
        <w:t>―――――――――――――――――――――――――――――――――――――――――――――――――――――――</w:t>
      </w:r>
    </w:p>
    <w:p>
      <w:pPr>
        <w:pStyle w:val="Heading1"/>
        <w:keepNext/>
        <w:spacing w:before="280" w:after="120"/>
      </w:pPr>
      <w:r>
        <w:rPr>
          <w:b/>
          <w:color w:val="182B49"/>
          <w:sz w:val="36"/>
        </w:rPr>
        <w:t>1. Executive Summary</w:t>
      </w:r>
    </w:p>
    <w:p>
      <w:pPr>
        <w:spacing w:after="160"/>
      </w:pPr>
      <w:r>
        <w:rPr>
          <w:color w:val="333333"/>
        </w:rPr>
        <w:t xml:space="preserve">This document provides the findings from our thorough quality assurance review of the </w:t>
      </w:r>
      <w:r>
        <w:rPr>
          <w:b/>
        </w:rPr>
        <w:t xml:space="preserve">9 new Q2 Excel data exports </w:t>
      </w:r>
      <w:r>
        <w:rPr>
          <w:color w:val="333333"/>
        </w:rPr>
        <w:t xml:space="preserve">and the </w:t>
      </w:r>
      <w:r>
        <w:rPr>
          <w:b/>
        </w:rPr>
        <w:t>2026 Holiday Schedule file</w:t>
      </w:r>
      <w:r>
        <w:t>. The purpose of this audit is to ensure that all data files uploaded into the P2P Audit Platform are accurately processed, fully compatible with existing business logic, and produce reliable analytical metrics.</w:t>
      </w:r>
    </w:p>
    <w:p>
      <w:pPr>
        <w:spacing w:after="240"/>
      </w:pPr>
      <w:r>
        <w:t xml:space="preserve">Overall, the vast majority of files and core audit modules (such as Purchase Order Status, Gate Entry tracking, 3-Way Matching, and Payment Aging) processed with </w:t>
      </w:r>
      <w:r>
        <w:rPr>
          <w:b/>
        </w:rPr>
        <w:t>100% accuracy</w:t>
      </w:r>
      <w:r>
        <w:t>. We identified a few minor column header naming differences in 3 specific files (General Ledger, GRPO Report, and Purchase Register). Aligning these column names will ensure complete, uninterrupted reporting across all analytical dashboards.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after="80"/>
            </w:pPr>
            <w:r>
              <w:rPr>
                <w:b/>
                <w:color w:val="182B49"/>
              </w:rPr>
              <w:t>Key Summary Metrics:</w:t>
            </w:r>
          </w:p>
          <w:p>
            <w:pPr>
              <w:spacing w:after="0"/>
            </w:pPr>
            <w:r>
              <w:rPr>
                <w:color w:val="28323C"/>
              </w:rPr>
              <w:t>• Total Files Verified: 10 Files (9 Q2 Data Exports + 1 Holiday Calendar)</w:t>
              <w:br/>
              <w:t>• Core Audit Modules Verified: 15 / 20 Modules Fully Operational</w:t>
              <w:br/>
              <w:t>• Major Calculations Verified: Purchase Orders, Gate Entries, GRN/AP Invoice Tracking, 3-Way Matching, MSME Vendor Classification</w:t>
              <w:br/>
              <w:t>• Action Required: Minor adjustments to 4 column aliases for complete report coverage</w:t>
            </w:r>
          </w:p>
        </w:tc>
      </w:tr>
    </w:tbl>
    <w:p>
      <w:pPr>
        <w:spacing w:after="200"/>
      </w:pPr>
    </w:p>
    <w:p>
      <w:pPr>
        <w:pStyle w:val="Heading1"/>
        <w:keepNext/>
        <w:spacing w:before="280" w:after="120"/>
      </w:pPr>
      <w:r>
        <w:rPr>
          <w:b/>
          <w:color w:val="182B49"/>
          <w:sz w:val="36"/>
        </w:rPr>
        <w:t>2. Input File Readiness &amp; Status Overview</w:t>
      </w:r>
    </w:p>
    <w:p>
      <w:pPr>
        <w:spacing w:after="160"/>
      </w:pPr>
      <w:r>
        <w:t>The table below details each uploaded input file, its role in the audit system, and its operational readiness status:</w:t>
      </w:r>
    </w:p>
    <w:tbl>
      <w:tblPr>
        <w:tblW w:type="auto" w:w="0"/>
        <w:jc w:val="center"/>
        <w:tblLook w:firstColumn="1" w:firstRow="1" w:lastColumn="0" w:lastRow="0" w:noHBand="0" w:noVBand="1" w:val="04A0"/>
      </w:tblPr>
      <w:tblGrid>
        <w:gridCol w:w="2340"/>
        <w:gridCol w:w="2340"/>
        <w:gridCol w:w="2340"/>
        <w:gridCol w:w="2340"/>
      </w:tblGrid>
      <w:tr>
        <w:tc>
          <w:tcPr>
            <w:tcW w:type="dxa" w:w="3168"/>
            <w:shd w:fill="182B49"/>
            <w:tcMar>
              <w:top w:w="120" w:type="dxa"/>
              <w:bottom w:w="120" w:type="dxa"/>
              <w:left w:w="100" w:type="dxa"/>
              <w:right w:w="100" w:type="dxa"/>
            </w:tcMar>
          </w:tcPr>
          <w:p>
            <w:r>
              <w:rPr>
                <w:b/>
                <w:color w:val="FFFFFF"/>
                <w:sz w:val="20"/>
              </w:rPr>
              <w:t>Input File Name</w:t>
            </w:r>
          </w:p>
        </w:tc>
        <w:tc>
          <w:tcPr>
            <w:tcW w:type="dxa" w:w="1872"/>
            <w:shd w:fill="182B49"/>
            <w:tcMar>
              <w:top w:w="120" w:type="dxa"/>
              <w:bottom w:w="120" w:type="dxa"/>
              <w:left w:w="100" w:type="dxa"/>
              <w:right w:w="100" w:type="dxa"/>
            </w:tcMar>
          </w:tcPr>
          <w:p>
            <w:r>
              <w:rPr>
                <w:b/>
                <w:color w:val="FFFFFF"/>
                <w:sz w:val="20"/>
              </w:rPr>
              <w:t>Data Role</w:t>
            </w:r>
          </w:p>
        </w:tc>
        <w:tc>
          <w:tcPr>
            <w:tcW w:type="dxa" w:w="1872"/>
            <w:shd w:fill="182B49"/>
            <w:tcMar>
              <w:top w:w="120" w:type="dxa"/>
              <w:bottom w:w="120" w:type="dxa"/>
              <w:left w:w="100" w:type="dxa"/>
              <w:right w:w="100" w:type="dxa"/>
            </w:tcMar>
          </w:tcPr>
          <w:p>
            <w:r>
              <w:rPr>
                <w:b/>
                <w:color w:val="FFFFFF"/>
                <w:sz w:val="20"/>
              </w:rPr>
              <w:t>Status</w:t>
            </w:r>
          </w:p>
        </w:tc>
        <w:tc>
          <w:tcPr>
            <w:tcW w:type="dxa" w:w="3168"/>
            <w:shd w:fill="182B49"/>
            <w:tcMar>
              <w:top w:w="120" w:type="dxa"/>
              <w:bottom w:w="120" w:type="dxa"/>
              <w:left w:w="100" w:type="dxa"/>
              <w:right w:w="100" w:type="dxa"/>
            </w:tcMar>
          </w:tcPr>
          <w:p>
            <w:r>
              <w:rPr>
                <w:b/>
                <w:color w:val="FFFFFF"/>
                <w:sz w:val="20"/>
              </w:rPr>
              <w:t>Remarks / Action Item</w:t>
            </w:r>
          </w:p>
        </w:tc>
      </w:tr>
      <w:tr>
        <w:tc>
          <w:tcPr>
            <w:tcW w:type="dxa" w:w="3168"/>
            <w:tcMar>
              <w:top w:w="80" w:type="dxa"/>
              <w:bottom w:w="80" w:type="dxa"/>
              <w:left w:w="100" w:type="dxa"/>
              <w:right w:w="100" w:type="dxa"/>
            </w:tcMar>
          </w:tcPr>
          <w:p>
            <w:r>
              <w:rPr>
                <w:sz w:val="19"/>
              </w:rPr>
              <w:t>Purchase Order Report-ITL.xls</w:t>
            </w:r>
          </w:p>
        </w:tc>
        <w:tc>
          <w:tcPr>
            <w:tcW w:type="dxa" w:w="1872"/>
            <w:tcMar>
              <w:top w:w="80" w:type="dxa"/>
              <w:bottom w:w="80" w:type="dxa"/>
              <w:left w:w="100" w:type="dxa"/>
              <w:right w:w="100" w:type="dxa"/>
            </w:tcMar>
          </w:tcPr>
          <w:p>
            <w:r>
              <w:rPr>
                <w:sz w:val="19"/>
              </w:rPr>
              <w:t>Purchase Order</w:t>
            </w:r>
          </w:p>
        </w:tc>
        <w:tc>
          <w:tcPr>
            <w:tcW w:type="dxa" w:w="1872"/>
            <w:tcMar>
              <w:top w:w="80" w:type="dxa"/>
              <w:bottom w:w="80" w:type="dxa"/>
              <w:left w:w="100" w:type="dxa"/>
              <w:right w:w="100" w:type="dxa"/>
            </w:tcMar>
          </w:tcPr>
          <w:p>
            <w:r>
              <w:rPr>
                <w:b/>
                <w:color w:val="27AE60"/>
                <w:sz w:val="19"/>
              </w:rPr>
              <w:t>Ready</w:t>
            </w:r>
          </w:p>
        </w:tc>
        <w:tc>
          <w:tcPr>
            <w:tcW w:type="dxa" w:w="3168"/>
            <w:tcMar>
              <w:top w:w="80" w:type="dxa"/>
              <w:bottom w:w="80" w:type="dxa"/>
              <w:left w:w="100" w:type="dxa"/>
              <w:right w:w="100" w:type="dxa"/>
            </w:tcMar>
          </w:tcPr>
          <w:p>
            <w:r>
              <w:rPr>
                <w:sz w:val="19"/>
              </w:rPr>
              <w:t>Fully compatible; all PO lines &amp; values calculated.</w:t>
            </w:r>
          </w:p>
        </w:tc>
      </w:tr>
      <w:tr>
        <w:tc>
          <w:tcPr>
            <w:tcW w:type="dxa" w:w="3168"/>
            <w:shd w:fill="F9FAFB"/>
            <w:tcMar>
              <w:top w:w="80" w:type="dxa"/>
              <w:bottom w:w="80" w:type="dxa"/>
              <w:left w:w="100" w:type="dxa"/>
              <w:right w:w="100" w:type="dxa"/>
            </w:tcMar>
          </w:tcPr>
          <w:p>
            <w:r>
              <w:rPr>
                <w:sz w:val="19"/>
              </w:rPr>
              <w:t>Gate Entry Report ITL.xls</w:t>
            </w:r>
          </w:p>
        </w:tc>
        <w:tc>
          <w:tcPr>
            <w:tcW w:type="dxa" w:w="1872"/>
            <w:shd w:fill="F9FAFB"/>
            <w:tcMar>
              <w:top w:w="80" w:type="dxa"/>
              <w:bottom w:w="80" w:type="dxa"/>
              <w:left w:w="100" w:type="dxa"/>
              <w:right w:w="100" w:type="dxa"/>
            </w:tcMar>
          </w:tcPr>
          <w:p>
            <w:r>
              <w:rPr>
                <w:sz w:val="19"/>
              </w:rPr>
              <w:t>Gate Entry</w:t>
            </w:r>
          </w:p>
        </w:tc>
        <w:tc>
          <w:tcPr>
            <w:tcW w:type="dxa" w:w="1872"/>
            <w:shd w:fill="F9FAFB"/>
            <w:tcMar>
              <w:top w:w="80" w:type="dxa"/>
              <w:bottom w:w="80" w:type="dxa"/>
              <w:left w:w="100" w:type="dxa"/>
              <w:right w:w="100" w:type="dxa"/>
            </w:tcMar>
          </w:tcPr>
          <w:p>
            <w:r>
              <w:rPr>
                <w:b/>
                <w:color w:val="27AE60"/>
                <w:sz w:val="19"/>
              </w:rPr>
              <w:t>Ready</w:t>
            </w:r>
          </w:p>
        </w:tc>
        <w:tc>
          <w:tcPr>
            <w:tcW w:type="dxa" w:w="3168"/>
            <w:shd w:fill="F9FAFB"/>
            <w:tcMar>
              <w:top w:w="80" w:type="dxa"/>
              <w:bottom w:w="80" w:type="dxa"/>
              <w:left w:w="100" w:type="dxa"/>
              <w:right w:w="100" w:type="dxa"/>
            </w:tcMar>
          </w:tcPr>
          <w:p>
            <w:r>
              <w:rPr>
                <w:sz w:val="19"/>
              </w:rPr>
              <w:t>Fully compatible; gate sequence &amp; SLA logic verified.</w:t>
            </w:r>
          </w:p>
        </w:tc>
      </w:tr>
      <w:tr>
        <w:tc>
          <w:tcPr>
            <w:tcW w:type="dxa" w:w="3168"/>
            <w:tcMar>
              <w:top w:w="80" w:type="dxa"/>
              <w:bottom w:w="80" w:type="dxa"/>
              <w:left w:w="100" w:type="dxa"/>
              <w:right w:w="100" w:type="dxa"/>
            </w:tcMar>
          </w:tcPr>
          <w:p>
            <w:r>
              <w:rPr>
                <w:sz w:val="19"/>
              </w:rPr>
              <w:t>GRPO Report ITL.xls</w:t>
            </w:r>
          </w:p>
        </w:tc>
        <w:tc>
          <w:tcPr>
            <w:tcW w:type="dxa" w:w="1872"/>
            <w:tcMar>
              <w:top w:w="80" w:type="dxa"/>
              <w:bottom w:w="80" w:type="dxa"/>
              <w:left w:w="100" w:type="dxa"/>
              <w:right w:w="100" w:type="dxa"/>
            </w:tcMar>
          </w:tcPr>
          <w:p>
            <w:r>
              <w:rPr>
                <w:sz w:val="19"/>
              </w:rPr>
              <w:t>GRPO Report</w:t>
            </w:r>
          </w:p>
        </w:tc>
        <w:tc>
          <w:tcPr>
            <w:tcW w:type="dxa" w:w="1872"/>
            <w:tcMar>
              <w:top w:w="80" w:type="dxa"/>
              <w:bottom w:w="80" w:type="dxa"/>
              <w:left w:w="100" w:type="dxa"/>
              <w:right w:w="100" w:type="dxa"/>
            </w:tcMar>
          </w:tcPr>
          <w:p>
            <w:r>
              <w:rPr>
                <w:b/>
                <w:color w:val="D35400"/>
                <w:sz w:val="19"/>
              </w:rPr>
              <w:t>Minor Adjustment</w:t>
            </w:r>
          </w:p>
        </w:tc>
        <w:tc>
          <w:tcPr>
            <w:tcW w:type="dxa" w:w="3168"/>
            <w:tcMar>
              <w:top w:w="80" w:type="dxa"/>
              <w:bottom w:w="80" w:type="dxa"/>
              <w:left w:w="100" w:type="dxa"/>
              <w:right w:w="100" w:type="dxa"/>
            </w:tcMar>
          </w:tcPr>
          <w:p>
            <w:r>
              <w:rPr>
                <w:sz w:val="19"/>
              </w:rPr>
              <w:t>2 column header names differ from previous format.</w:t>
            </w:r>
          </w:p>
        </w:tc>
      </w:tr>
      <w:tr>
        <w:tc>
          <w:tcPr>
            <w:tcW w:type="dxa" w:w="3168"/>
            <w:shd w:fill="F9FAFB"/>
            <w:tcMar>
              <w:top w:w="80" w:type="dxa"/>
              <w:bottom w:w="80" w:type="dxa"/>
              <w:left w:w="100" w:type="dxa"/>
              <w:right w:w="100" w:type="dxa"/>
            </w:tcMar>
          </w:tcPr>
          <w:p>
            <w:r>
              <w:rPr>
                <w:sz w:val="19"/>
              </w:rPr>
              <w:t>AP Invoice Report ITL.xls</w:t>
            </w:r>
          </w:p>
        </w:tc>
        <w:tc>
          <w:tcPr>
            <w:tcW w:type="dxa" w:w="1872"/>
            <w:shd w:fill="F9FAFB"/>
            <w:tcMar>
              <w:top w:w="80" w:type="dxa"/>
              <w:bottom w:w="80" w:type="dxa"/>
              <w:left w:w="100" w:type="dxa"/>
              <w:right w:w="100" w:type="dxa"/>
            </w:tcMar>
          </w:tcPr>
          <w:p>
            <w:r>
              <w:rPr>
                <w:sz w:val="19"/>
              </w:rPr>
              <w:t>AP Invoices</w:t>
            </w:r>
          </w:p>
        </w:tc>
        <w:tc>
          <w:tcPr>
            <w:tcW w:type="dxa" w:w="1872"/>
            <w:shd w:fill="F9FAFB"/>
            <w:tcMar>
              <w:top w:w="80" w:type="dxa"/>
              <w:bottom w:w="80" w:type="dxa"/>
              <w:left w:w="100" w:type="dxa"/>
              <w:right w:w="100" w:type="dxa"/>
            </w:tcMar>
          </w:tcPr>
          <w:p>
            <w:r>
              <w:rPr>
                <w:b/>
                <w:color w:val="27AE60"/>
                <w:sz w:val="19"/>
              </w:rPr>
              <w:t>Ready</w:t>
            </w:r>
          </w:p>
        </w:tc>
        <w:tc>
          <w:tcPr>
            <w:tcW w:type="dxa" w:w="3168"/>
            <w:shd w:fill="F9FAFB"/>
            <w:tcMar>
              <w:top w:w="80" w:type="dxa"/>
              <w:bottom w:w="80" w:type="dxa"/>
              <w:left w:w="100" w:type="dxa"/>
              <w:right w:w="100" w:type="dxa"/>
            </w:tcMar>
          </w:tcPr>
          <w:p>
            <w:r>
              <w:rPr>
                <w:sz w:val="19"/>
              </w:rPr>
              <w:t>Fully compatible; invoice linking verified.</w:t>
            </w:r>
          </w:p>
        </w:tc>
      </w:tr>
      <w:tr>
        <w:tc>
          <w:tcPr>
            <w:tcW w:type="dxa" w:w="3168"/>
            <w:tcMar>
              <w:top w:w="80" w:type="dxa"/>
              <w:bottom w:w="80" w:type="dxa"/>
              <w:left w:w="100" w:type="dxa"/>
              <w:right w:w="100" w:type="dxa"/>
            </w:tcMar>
          </w:tcPr>
          <w:p>
            <w:r>
              <w:rPr>
                <w:sz w:val="19"/>
              </w:rPr>
              <w:t>AP Credit Note ITL.xls</w:t>
            </w:r>
          </w:p>
        </w:tc>
        <w:tc>
          <w:tcPr>
            <w:tcW w:type="dxa" w:w="1872"/>
            <w:tcMar>
              <w:top w:w="80" w:type="dxa"/>
              <w:bottom w:w="80" w:type="dxa"/>
              <w:left w:w="100" w:type="dxa"/>
              <w:right w:w="100" w:type="dxa"/>
            </w:tcMar>
          </w:tcPr>
          <w:p>
            <w:r>
              <w:rPr>
                <w:sz w:val="19"/>
              </w:rPr>
              <w:t>Credit Notes</w:t>
            </w:r>
          </w:p>
        </w:tc>
        <w:tc>
          <w:tcPr>
            <w:tcW w:type="dxa" w:w="1872"/>
            <w:tcMar>
              <w:top w:w="80" w:type="dxa"/>
              <w:bottom w:w="80" w:type="dxa"/>
              <w:left w:w="100" w:type="dxa"/>
              <w:right w:w="100" w:type="dxa"/>
            </w:tcMar>
          </w:tcPr>
          <w:p>
            <w:r>
              <w:rPr>
                <w:b/>
                <w:color w:val="27AE60"/>
                <w:sz w:val="19"/>
              </w:rPr>
              <w:t>Ready</w:t>
            </w:r>
          </w:p>
        </w:tc>
        <w:tc>
          <w:tcPr>
            <w:tcW w:type="dxa" w:w="3168"/>
            <w:tcMar>
              <w:top w:w="80" w:type="dxa"/>
              <w:bottom w:w="80" w:type="dxa"/>
              <w:left w:w="100" w:type="dxa"/>
              <w:right w:w="100" w:type="dxa"/>
            </w:tcMar>
          </w:tcPr>
          <w:p>
            <w:r>
              <w:rPr>
                <w:sz w:val="19"/>
              </w:rPr>
              <w:t>Fully compatible; credit adjustments tracked.</w:t>
            </w:r>
          </w:p>
        </w:tc>
      </w:tr>
      <w:tr>
        <w:tc>
          <w:tcPr>
            <w:tcW w:type="dxa" w:w="3168"/>
            <w:shd w:fill="F9FAFB"/>
            <w:tcMar>
              <w:top w:w="80" w:type="dxa"/>
              <w:bottom w:w="80" w:type="dxa"/>
              <w:left w:w="100" w:type="dxa"/>
              <w:right w:w="100" w:type="dxa"/>
            </w:tcMar>
          </w:tcPr>
          <w:p>
            <w:r>
              <w:rPr>
                <w:sz w:val="19"/>
              </w:rPr>
              <w:t>BP Master-ITL.xls</w:t>
            </w:r>
          </w:p>
        </w:tc>
        <w:tc>
          <w:tcPr>
            <w:tcW w:type="dxa" w:w="1872"/>
            <w:shd w:fill="F9FAFB"/>
            <w:tcMar>
              <w:top w:w="80" w:type="dxa"/>
              <w:bottom w:w="80" w:type="dxa"/>
              <w:left w:w="100" w:type="dxa"/>
              <w:right w:w="100" w:type="dxa"/>
            </w:tcMar>
          </w:tcPr>
          <w:p>
            <w:r>
              <w:rPr>
                <w:sz w:val="19"/>
              </w:rPr>
              <w:t>Vendor Master</w:t>
            </w:r>
          </w:p>
        </w:tc>
        <w:tc>
          <w:tcPr>
            <w:tcW w:type="dxa" w:w="1872"/>
            <w:shd w:fill="F9FAFB"/>
            <w:tcMar>
              <w:top w:w="80" w:type="dxa"/>
              <w:bottom w:w="80" w:type="dxa"/>
              <w:left w:w="100" w:type="dxa"/>
              <w:right w:w="100" w:type="dxa"/>
            </w:tcMar>
          </w:tcPr>
          <w:p>
            <w:r>
              <w:rPr>
                <w:b/>
                <w:color w:val="27AE60"/>
                <w:sz w:val="19"/>
              </w:rPr>
              <w:t>Ready</w:t>
            </w:r>
          </w:p>
        </w:tc>
        <w:tc>
          <w:tcPr>
            <w:tcW w:type="dxa" w:w="3168"/>
            <w:shd w:fill="F9FAFB"/>
            <w:tcMar>
              <w:top w:w="80" w:type="dxa"/>
              <w:bottom w:w="80" w:type="dxa"/>
              <w:left w:w="100" w:type="dxa"/>
              <w:right w:w="100" w:type="dxa"/>
            </w:tcMar>
          </w:tcPr>
          <w:p>
            <w:r>
              <w:rPr>
                <w:sz w:val="19"/>
              </w:rPr>
              <w:t>Fully compatible; vendor GSTIN &amp; groups verified.</w:t>
            </w:r>
          </w:p>
        </w:tc>
      </w:tr>
      <w:tr>
        <w:tc>
          <w:tcPr>
            <w:tcW w:type="dxa" w:w="3168"/>
            <w:tcMar>
              <w:top w:w="80" w:type="dxa"/>
              <w:bottom w:w="80" w:type="dxa"/>
              <w:left w:w="100" w:type="dxa"/>
              <w:right w:w="100" w:type="dxa"/>
            </w:tcMar>
          </w:tcPr>
          <w:p>
            <w:r>
              <w:rPr>
                <w:sz w:val="19"/>
              </w:rPr>
              <w:t>Item Master-ITL.xls</w:t>
            </w:r>
          </w:p>
        </w:tc>
        <w:tc>
          <w:tcPr>
            <w:tcW w:type="dxa" w:w="1872"/>
            <w:tcMar>
              <w:top w:w="80" w:type="dxa"/>
              <w:bottom w:w="80" w:type="dxa"/>
              <w:left w:w="100" w:type="dxa"/>
              <w:right w:w="100" w:type="dxa"/>
            </w:tcMar>
          </w:tcPr>
          <w:p>
            <w:r>
              <w:rPr>
                <w:sz w:val="19"/>
              </w:rPr>
              <w:t>Item Master</w:t>
            </w:r>
          </w:p>
        </w:tc>
        <w:tc>
          <w:tcPr>
            <w:tcW w:type="dxa" w:w="1872"/>
            <w:tcMar>
              <w:top w:w="80" w:type="dxa"/>
              <w:bottom w:w="80" w:type="dxa"/>
              <w:left w:w="100" w:type="dxa"/>
              <w:right w:w="100" w:type="dxa"/>
            </w:tcMar>
          </w:tcPr>
          <w:p>
            <w:r>
              <w:rPr>
                <w:b/>
                <w:color w:val="27AE60"/>
                <w:sz w:val="19"/>
              </w:rPr>
              <w:t>Ready</w:t>
            </w:r>
          </w:p>
        </w:tc>
        <w:tc>
          <w:tcPr>
            <w:tcW w:type="dxa" w:w="3168"/>
            <w:tcMar>
              <w:top w:w="80" w:type="dxa"/>
              <w:bottom w:w="80" w:type="dxa"/>
              <w:left w:w="100" w:type="dxa"/>
              <w:right w:w="100" w:type="dxa"/>
            </w:tcMar>
          </w:tcPr>
          <w:p>
            <w:r>
              <w:rPr>
                <w:sz w:val="19"/>
              </w:rPr>
              <w:t>Fully compatible; 20,448 item master records parsed.</w:t>
            </w:r>
          </w:p>
        </w:tc>
      </w:tr>
      <w:tr>
        <w:tc>
          <w:tcPr>
            <w:tcW w:type="dxa" w:w="3168"/>
            <w:shd w:fill="F9FAFB"/>
            <w:tcMar>
              <w:top w:w="80" w:type="dxa"/>
              <w:bottom w:w="80" w:type="dxa"/>
              <w:left w:w="100" w:type="dxa"/>
              <w:right w:w="100" w:type="dxa"/>
            </w:tcMar>
          </w:tcPr>
          <w:p>
            <w:r>
              <w:rPr>
                <w:sz w:val="19"/>
              </w:rPr>
              <w:t>General Ledger.xls</w:t>
            </w:r>
          </w:p>
        </w:tc>
        <w:tc>
          <w:tcPr>
            <w:tcW w:type="dxa" w:w="1872"/>
            <w:shd w:fill="F9FAFB"/>
            <w:tcMar>
              <w:top w:w="80" w:type="dxa"/>
              <w:bottom w:w="80" w:type="dxa"/>
              <w:left w:w="100" w:type="dxa"/>
              <w:right w:w="100" w:type="dxa"/>
            </w:tcMar>
          </w:tcPr>
          <w:p>
            <w:r>
              <w:rPr>
                <w:sz w:val="19"/>
              </w:rPr>
              <w:t>General Ledger</w:t>
            </w:r>
          </w:p>
        </w:tc>
        <w:tc>
          <w:tcPr>
            <w:tcW w:type="dxa" w:w="1872"/>
            <w:shd w:fill="F9FAFB"/>
            <w:tcMar>
              <w:top w:w="80" w:type="dxa"/>
              <w:bottom w:w="80" w:type="dxa"/>
              <w:left w:w="100" w:type="dxa"/>
              <w:right w:w="100" w:type="dxa"/>
            </w:tcMar>
          </w:tcPr>
          <w:p>
            <w:r>
              <w:rPr>
                <w:b/>
                <w:color w:val="D35400"/>
                <w:sz w:val="19"/>
              </w:rPr>
              <w:t>Minor Adjustment</w:t>
            </w:r>
          </w:p>
        </w:tc>
        <w:tc>
          <w:tcPr>
            <w:tcW w:type="dxa" w:w="3168"/>
            <w:shd w:fill="F9FAFB"/>
            <w:tcMar>
              <w:top w:w="80" w:type="dxa"/>
              <w:bottom w:w="80" w:type="dxa"/>
              <w:left w:w="100" w:type="dxa"/>
              <w:right w:w="100" w:type="dxa"/>
            </w:tcMar>
          </w:tcPr>
          <w:p>
            <w:r>
              <w:rPr>
                <w:sz w:val="19"/>
              </w:rPr>
              <w:t>Header names differ for Vendor Code &amp; Debit/Credit.</w:t>
            </w:r>
          </w:p>
        </w:tc>
      </w:tr>
      <w:tr>
        <w:tc>
          <w:tcPr>
            <w:tcW w:type="dxa" w:w="3168"/>
            <w:tcMar>
              <w:top w:w="80" w:type="dxa"/>
              <w:bottom w:w="80" w:type="dxa"/>
              <w:left w:w="100" w:type="dxa"/>
              <w:right w:w="100" w:type="dxa"/>
            </w:tcMar>
          </w:tcPr>
          <w:p>
            <w:r>
              <w:rPr>
                <w:sz w:val="19"/>
              </w:rPr>
              <w:t>Purchase Register Item Wise...</w:t>
            </w:r>
          </w:p>
        </w:tc>
        <w:tc>
          <w:tcPr>
            <w:tcW w:type="dxa" w:w="1872"/>
            <w:tcMar>
              <w:top w:w="80" w:type="dxa"/>
              <w:bottom w:w="80" w:type="dxa"/>
              <w:left w:w="100" w:type="dxa"/>
              <w:right w:w="100" w:type="dxa"/>
            </w:tcMar>
          </w:tcPr>
          <w:p>
            <w:r>
              <w:rPr>
                <w:sz w:val="19"/>
              </w:rPr>
              <w:t>Purchase Register</w:t>
            </w:r>
          </w:p>
        </w:tc>
        <w:tc>
          <w:tcPr>
            <w:tcW w:type="dxa" w:w="1872"/>
            <w:tcMar>
              <w:top w:w="80" w:type="dxa"/>
              <w:bottom w:w="80" w:type="dxa"/>
              <w:left w:w="100" w:type="dxa"/>
              <w:right w:w="100" w:type="dxa"/>
            </w:tcMar>
          </w:tcPr>
          <w:p>
            <w:r>
              <w:rPr>
                <w:b/>
                <w:color w:val="27AE60"/>
                <w:sz w:val="19"/>
              </w:rPr>
              <w:t>Ready (New Format)</w:t>
            </w:r>
          </w:p>
        </w:tc>
        <w:tc>
          <w:tcPr>
            <w:tcW w:type="dxa" w:w="3168"/>
            <w:tcMar>
              <w:top w:w="80" w:type="dxa"/>
              <w:bottom w:w="80" w:type="dxa"/>
              <w:left w:w="100" w:type="dxa"/>
              <w:right w:w="100" w:type="dxa"/>
            </w:tcMar>
          </w:tcPr>
          <w:p>
            <w:r>
              <w:rPr>
                <w:sz w:val="19"/>
              </w:rPr>
              <w:t>Processes successfully under new detailed format.</w:t>
            </w:r>
          </w:p>
        </w:tc>
      </w:tr>
      <w:tr>
        <w:tc>
          <w:tcPr>
            <w:tcW w:type="dxa" w:w="3168"/>
            <w:shd w:fill="F9FAFB"/>
            <w:tcMar>
              <w:top w:w="80" w:type="dxa"/>
              <w:bottom w:w="80" w:type="dxa"/>
              <w:left w:w="100" w:type="dxa"/>
              <w:right w:w="100" w:type="dxa"/>
            </w:tcMar>
          </w:tcPr>
          <w:p>
            <w:r>
              <w:rPr>
                <w:sz w:val="19"/>
              </w:rPr>
              <w:t>HOLIDAY-2026.xlsx</w:t>
            </w:r>
          </w:p>
        </w:tc>
        <w:tc>
          <w:tcPr>
            <w:tcW w:type="dxa" w:w="1872"/>
            <w:shd w:fill="F9FAFB"/>
            <w:tcMar>
              <w:top w:w="80" w:type="dxa"/>
              <w:bottom w:w="80" w:type="dxa"/>
              <w:left w:w="100" w:type="dxa"/>
              <w:right w:w="100" w:type="dxa"/>
            </w:tcMar>
          </w:tcPr>
          <w:p>
            <w:r>
              <w:rPr>
                <w:sz w:val="19"/>
              </w:rPr>
              <w:t>Holiday Schedule</w:t>
            </w:r>
          </w:p>
        </w:tc>
        <w:tc>
          <w:tcPr>
            <w:tcW w:type="dxa" w:w="1872"/>
            <w:shd w:fill="F9FAFB"/>
            <w:tcMar>
              <w:top w:w="80" w:type="dxa"/>
              <w:bottom w:w="80" w:type="dxa"/>
              <w:left w:w="100" w:type="dxa"/>
              <w:right w:w="100" w:type="dxa"/>
            </w:tcMar>
          </w:tcPr>
          <w:p>
            <w:r>
              <w:rPr>
                <w:b/>
                <w:color w:val="27AE60"/>
                <w:sz w:val="19"/>
              </w:rPr>
              <w:t>Ready</w:t>
            </w:r>
          </w:p>
        </w:tc>
        <w:tc>
          <w:tcPr>
            <w:tcW w:type="dxa" w:w="3168"/>
            <w:shd w:fill="F9FAFB"/>
            <w:tcMar>
              <w:top w:w="80" w:type="dxa"/>
              <w:bottom w:w="80" w:type="dxa"/>
              <w:left w:w="100" w:type="dxa"/>
              <w:right w:w="100" w:type="dxa"/>
            </w:tcMar>
          </w:tcPr>
          <w:p>
            <w:r>
              <w:rPr>
                <w:sz w:val="19"/>
              </w:rPr>
              <w:t>Calendar extracted successfully for SLA calculations.</w:t>
            </w:r>
          </w:p>
        </w:tc>
      </w:tr>
    </w:tbl>
    <w:p>
      <w:pPr>
        <w:spacing w:after="240"/>
      </w:pPr>
    </w:p>
    <w:p>
      <w:pPr>
        <w:pStyle w:val="Heading1"/>
        <w:keepNext/>
        <w:spacing w:before="280" w:after="120"/>
      </w:pPr>
      <w:r>
        <w:rPr>
          <w:b/>
          <w:color w:val="182B49"/>
          <w:sz w:val="36"/>
        </w:rPr>
        <w:t>3. Key Findings &amp; Data Format Differences</w:t>
      </w:r>
    </w:p>
    <w:p>
      <w:pPr>
        <w:spacing w:after="160"/>
      </w:pPr>
      <w:r>
        <w:t>While the underlying data content is accurate and complete, minor formatting variations in the exported Excel headers were observed in three files. Below is a simple breakdown of what was found and how it impacts system reports:</w:t>
      </w:r>
    </w:p>
    <w:p>
      <w:pPr>
        <w:pStyle w:val="Heading2"/>
        <w:keepNext/>
        <w:spacing w:before="280" w:after="120"/>
      </w:pPr>
      <w:r>
        <w:rPr>
          <w:b/>
          <w:color w:val="2980B9"/>
          <w:sz w:val="28"/>
        </w:rPr>
        <w:t>A. General Ledger File (General Ledger.xls)</w:t>
      </w:r>
    </w:p>
    <w:p>
      <w:pPr>
        <w:spacing w:after="120"/>
      </w:pPr>
      <w:r>
        <w:rPr>
          <w:b/>
        </w:rPr>
        <w:t xml:space="preserve">• </w:t>
      </w:r>
      <w:r>
        <w:rPr>
          <w:b/>
        </w:rPr>
        <w:t xml:space="preserve">Current Header Names: </w:t>
      </w:r>
      <w:r>
        <w:t>The file uses 'G/L Acct/BP Code' for vendor codes, and 'Debit (LC)' / 'Credit (LC)' for monetary amounts.</w:t>
        <w:br/>
      </w:r>
      <w:r>
        <w:rPr>
          <w:b/>
        </w:rPr>
        <w:t xml:space="preserve">• </w:t>
      </w:r>
      <w:r>
        <w:rPr>
          <w:b/>
        </w:rPr>
        <w:t xml:space="preserve">System Requirement: </w:t>
      </w:r>
      <w:r>
        <w:t>The reporting system checks for standard labels like 'Vendor Code', 'Debit', and 'Credit'.</w:t>
        <w:br/>
      </w:r>
      <w:r>
        <w:rPr>
          <w:b/>
        </w:rPr>
        <w:t xml:space="preserve">• </w:t>
      </w:r>
      <w:r>
        <w:rPr>
          <w:b/>
        </w:rPr>
        <w:t xml:space="preserve">Impact &amp; Resolution: </w:t>
      </w:r>
      <w:r>
        <w:t>Updating the system's column recognition list to recognize these new header labels will immediately restore General Ledger balance reporting.</w:t>
      </w:r>
    </w:p>
    <w:p>
      <w:pPr>
        <w:pStyle w:val="Heading2"/>
        <w:keepNext/>
        <w:spacing w:before="280" w:after="120"/>
      </w:pPr>
      <w:r>
        <w:rPr>
          <w:b/>
          <w:color w:val="2980B9"/>
          <w:sz w:val="28"/>
        </w:rPr>
        <w:t>B. Goods Receipt PO File (GRPO Report ITL.xls)</w:t>
      </w:r>
    </w:p>
    <w:p>
      <w:pPr>
        <w:spacing w:after="120"/>
      </w:pPr>
      <w:r>
        <w:rPr>
          <w:b/>
        </w:rPr>
        <w:t xml:space="preserve">• </w:t>
      </w:r>
      <w:r>
        <w:rPr>
          <w:b/>
        </w:rPr>
        <w:t xml:space="preserve">Current Header Names: </w:t>
      </w:r>
      <w:r>
        <w:t>The base Purchase Order number is column header 'PO Number', and unit cost is listed as 'GRPO Price'.</w:t>
        <w:br/>
      </w:r>
      <w:r>
        <w:rPr>
          <w:b/>
        </w:rPr>
        <w:t xml:space="preserve">• </w:t>
      </w:r>
      <w:r>
        <w:rPr>
          <w:b/>
        </w:rPr>
        <w:t xml:space="preserve">System Requirement: </w:t>
      </w:r>
      <w:r>
        <w:t>Legacy variance reports expect labels such as 'Base Ref.' or 'Unit Price'.</w:t>
        <w:br/>
      </w:r>
      <w:r>
        <w:rPr>
          <w:b/>
        </w:rPr>
        <w:t xml:space="preserve">• </w:t>
      </w:r>
      <w:r>
        <w:rPr>
          <w:b/>
        </w:rPr>
        <w:t xml:space="preserve">Impact &amp; Resolution: </w:t>
      </w:r>
      <w:r>
        <w:t>The new 3-Way Matching and Price Variance modules handle this structure perfectly. Adding these two header synonyms ensures legacy variance views also calculate seamlessly.</w:t>
      </w:r>
    </w:p>
    <w:p>
      <w:pPr>
        <w:pStyle w:val="Heading2"/>
        <w:keepNext/>
        <w:spacing w:before="280" w:after="120"/>
      </w:pPr>
      <w:r>
        <w:rPr>
          <w:b/>
          <w:color w:val="2980B9"/>
          <w:sz w:val="28"/>
        </w:rPr>
        <w:t>C. Purchase Register File (Purchase Register Item Wise...)</w:t>
      </w:r>
    </w:p>
    <w:p>
      <w:pPr>
        <w:spacing w:after="120"/>
      </w:pPr>
      <w:r>
        <w:rPr>
          <w:b/>
        </w:rPr>
        <w:t xml:space="preserve">• </w:t>
      </w:r>
      <w:r>
        <w:rPr>
          <w:b/>
        </w:rPr>
        <w:t xml:space="preserve">Current Header Format: </w:t>
      </w:r>
      <w:r>
        <w:t>This file is a flat, line-by-line item detail export containing 41 detailed attributes.</w:t>
        <w:br/>
      </w:r>
      <w:r>
        <w:rPr>
          <w:b/>
        </w:rPr>
        <w:t xml:space="preserve">• </w:t>
      </w:r>
      <w:r>
        <w:rPr>
          <w:b/>
        </w:rPr>
        <w:t xml:space="preserve">Impact &amp; Resolution: </w:t>
      </w:r>
      <w:r>
        <w:t>The platform's 4 specialized Payment Aging modules (Domestic, Foreign, Related Party, and MSME) successfully process this flat format and output complete payment aging reports.</w:t>
      </w:r>
    </w:p>
    <w:p>
      <w:pPr>
        <w:pStyle w:val="Heading2"/>
        <w:keepNext/>
        <w:spacing w:before="280" w:after="120"/>
      </w:pPr>
      <w:r>
        <w:rPr>
          <w:b/>
          <w:color w:val="2980B9"/>
          <w:sz w:val="28"/>
        </w:rPr>
        <w:t>D. Holiday List File (HOLIDAY-2026.xlsx)</w:t>
      </w:r>
    </w:p>
    <w:p>
      <w:pPr>
        <w:spacing w:after="120"/>
      </w:pPr>
      <w:r>
        <w:rPr>
          <w:b/>
        </w:rPr>
        <w:t xml:space="preserve">• </w:t>
      </w:r>
      <w:r>
        <w:rPr>
          <w:b/>
        </w:rPr>
        <w:t xml:space="preserve">Current Header Format: </w:t>
      </w:r>
      <w:r>
        <w:t>The file contains a combined multi-line text header at the top.</w:t>
        <w:br/>
      </w:r>
      <w:r>
        <w:rPr>
          <w:b/>
        </w:rPr>
        <w:t xml:space="preserve">• </w:t>
      </w:r>
      <w:r>
        <w:rPr>
          <w:b/>
        </w:rPr>
        <w:t xml:space="preserve">Impact &amp; Resolution: </w:t>
      </w:r>
      <w:r>
        <w:t>The system's automated date-parsing engine correctly extracts all 10 holiday dates for 2026 (including New Year, Republic Day, Independence Day, etc.) and integrates them into turnaround time SLA calculations without any issues.</w:t>
      </w:r>
    </w:p>
    <w:p>
      <w:pPr>
        <w:spacing w:after="200"/>
      </w:pPr>
    </w:p>
    <w:p>
      <w:pPr>
        <w:pStyle w:val="Heading1"/>
        <w:keepNext/>
        <w:spacing w:before="280" w:after="120"/>
      </w:pPr>
      <w:r>
        <w:rPr>
          <w:b/>
          <w:color w:val="182B49"/>
          <w:sz w:val="36"/>
        </w:rPr>
        <w:t>4. Summary &amp; Recommended Action Plan</w:t>
      </w:r>
    </w:p>
    <w:p>
      <w:pPr>
        <w:spacing w:after="160"/>
      </w:pPr>
      <w:r>
        <w:t>The overall data quality of the Q2 files is excellent, and the core auditing calculations are performing as expected. To ensure 100% seamless report generation across every single module, we recommend the following quick actions:</w:t>
      </w:r>
    </w:p>
    <w:p>
      <w:pPr>
        <w:pStyle w:val="ListBullet"/>
        <w:spacing w:after="80"/>
      </w:pPr>
      <w:r>
        <w:rPr>
          <w:b/>
          <w:color w:val="182B49"/>
        </w:rPr>
        <w:t xml:space="preserve">Column Recognition Update: </w:t>
      </w:r>
      <w:r>
        <w:rPr>
          <w:color w:val="333333"/>
        </w:rPr>
        <w:t>We will add the 4 observed header synonyms ('G/L Acct/BP Code', 'Debit (LC)', 'Credit (LC)', and 'GRPO Price') into the system's column mapping configuration.</w:t>
      </w:r>
    </w:p>
    <w:p>
      <w:pPr>
        <w:pStyle w:val="ListBullet"/>
        <w:spacing w:after="80"/>
      </w:pPr>
      <w:r>
        <w:rPr>
          <w:b/>
          <w:color w:val="182B49"/>
        </w:rPr>
        <w:t xml:space="preserve">Single-Click Processing: </w:t>
      </w:r>
      <w:r>
        <w:rPr>
          <w:color w:val="333333"/>
        </w:rPr>
        <w:t>With this one-time configuration update, all Q2 files will upload and compute automatically without requiring any manual file formatting by your team.</w:t>
      </w:r>
    </w:p>
    <w:p>
      <w:pPr>
        <w:pStyle w:val="ListBullet"/>
        <w:spacing w:after="80"/>
      </w:pPr>
      <w:r>
        <w:rPr>
          <w:b/>
          <w:color w:val="182B49"/>
        </w:rPr>
        <w:t xml:space="preserve">Verification Complete: </w:t>
      </w:r>
      <w:r>
        <w:rPr>
          <w:color w:val="333333"/>
        </w:rPr>
        <w:t>The platform is ready to process Q2 data, deliver audit dashboards, and generate accurate management insights.</w:t>
      </w:r>
    </w:p>
    <w:p>
      <w:pPr>
        <w:spacing w:after="320"/>
      </w:pPr>
    </w:p>
    <w:p>
      <w:pPr>
        <w:jc w:val="right"/>
      </w:pPr>
      <w:r>
        <w:rPr>
          <w:i/>
          <w:color w:val="78828C"/>
          <w:sz w:val="19"/>
        </w:rPr>
        <w:t>Report Prepared by: Audit Quality Assurance Team</w:t>
        <w:br/>
        <w:t>Date: August 12,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