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jc w:val="center"/>
      </w:pPr>
      <w:r>
        <w:rPr>
          <w:rFonts w:ascii="Calibri" w:hAnsi="Calibri"/>
          <w:b/>
          <w:color w:val="1A5490"/>
          <w:sz w:val="52"/>
        </w:rPr>
        <w:t>NHAI SECURE BIOMETRIC ATTENDANCE SYSTEM</w:t>
      </w:r>
    </w:p>
    <w:p>
      <w:pPr>
        <w:spacing w:after="480"/>
        <w:jc w:val="center"/>
      </w:pPr>
      <w:r>
        <w:rPr>
          <w:rFonts w:ascii="Calibri" w:hAnsi="Calibri"/>
          <w:i/>
          <w:color w:val="FF9800"/>
          <w:sz w:val="28"/>
        </w:rPr>
        <w:t>Part I: System Architecture, Local Machine Learning Models</w:t>
        <w:br/>
        <w:t>&amp; Engineering Technical Reference Manual</w:t>
      </w:r>
    </w:p>
    <w:p/>
    <w:p/>
    <w:p/>
    <w:p/>
    <w:p/>
    <w:p/>
    <w:p/>
    <w:p>
      <w:pPr>
        <w:jc w:val="left"/>
      </w:pPr>
      <w:r>
        <w:rPr>
          <w:rFonts w:ascii="Calibri" w:hAnsi="Calibri"/>
          <w:color w:val="333333"/>
          <w:sz w:val="20"/>
        </w:rPr>
        <w:t>ORGANIZATION: National Highways Authority of India (NHAI)</w:t>
        <w:br/>
        <w:t>DATABASE DESIGN: SQLite Local Engine (Encrypted &amp; Indexed)</w:t>
        <w:br/>
        <w:t>AI CAPABILITIES: Edge-AI MediaPipe Landmark API &amp; TFLite Embeddings</w:t>
        <w:br/>
        <w:t>AUTHOR / LEAD ENGINEER: Priyanshu Solanki (Technical Lead)</w:t>
        <w:br/>
        <w:t>DOCUMENT REF: NHAI-ITS-TECH-01</w:t>
        <w:br/>
        <w:t>SECURITY LEVEL: Confidential / Restricted</w:t>
      </w:r>
    </w:p>
    <w:p>
      <w:r>
        <w:br w:type="page"/>
      </w:r>
    </w:p>
    <w:p>
      <w:pPr>
        <w:pStyle w:val="Heading1"/>
      </w:pPr>
      <w:r>
        <w:rPr>
          <w:rFonts w:ascii="Calibri" w:hAnsi="Calibri"/>
          <w:b/>
          <w:color w:val="1A5490"/>
        </w:rPr>
        <w:t>Table of Contents</w:t>
      </w:r>
    </w:p>
    <w:p>
      <w:r>
        <w:rPr>
          <w:rFonts w:ascii="Calibri" w:hAnsi="Calibri"/>
          <w:sz w:val="22"/>
        </w:rPr>
        <w:t>1. Context &amp; Architectural Requirements</w:t>
        <w:br/>
        <w:t>2. React Native Frontend &amp; System Architecture</w:t>
        <w:br/>
        <w:t>3. Local ML Core: MediaPipe Detector &amp; TensorFlow Lite Embeddings</w:t>
        <w:br/>
        <w:t>4. Geofencing Calculation Logic &amp; Coordinate Fallbacks</w:t>
        <w:br/>
        <w:t>5. Anti-Spoofing Blink Liveness State Machine</w:t>
        <w:br/>
        <w:t>6. SQLite Database Design &amp; Schema Specifications</w:t>
        <w:br/>
        <w:t>7. Network Status Synchronization Queue (Datalake 3.0)</w:t>
        <w:br/>
        <w:t>8. Performance Benchmarks, Latencies &amp; Operational Load Metrics</w:t>
      </w:r>
    </w:p>
    <w:p>
      <w:r>
        <w:br w:type="page"/>
      </w:r>
    </w:p>
    <w:p>
      <w:pPr>
        <w:pStyle w:val="Heading1"/>
      </w:pPr>
      <w:r>
        <w:rPr>
          <w:color w:val="1A5490"/>
        </w:rPr>
        <w:t>1. Context &amp; Architectural Requirements</w:t>
      </w:r>
    </w:p>
    <w:p>
      <w:pPr>
        <w:spacing w:after="120"/>
      </w:pPr>
      <w:r>
        <w:rPr>
          <w:rFonts w:ascii="Calibri" w:hAnsi="Calibri"/>
          <w:b w:val="0"/>
          <w:i w:val="0"/>
          <w:color w:val="333333"/>
          <w:sz w:val="22"/>
        </w:rPr>
        <w:t>Modern highway construction environments managed by the National Highways Authority of India (NHAI) represent challenging, remote physical spaces. Projects are located in terrain like mountain passes, dense forests, and rural valleys. In these areas, continuous network access is unavailable, creating a reliance on offline execution. Standard biometric attendance tracking apps require cloud servers to extract face embeddings and verify worker identities. In zero-network areas, this dependence fails. The core architectural mandate for this project requires moving all calculations, verification steps, geofencing checks, and data logging entirely onto the local mobile device, allowing normal operations without cellular signal.</w:t>
      </w:r>
    </w:p>
    <w:p>
      <w:pPr>
        <w:spacing w:after="120"/>
      </w:pPr>
      <w:r>
        <w:rPr>
          <w:rFonts w:ascii="Calibri" w:hAnsi="Calibri"/>
          <w:b/>
          <w:i w:val="0"/>
          <w:color w:val="1A5490"/>
          <w:sz w:val="22"/>
        </w:rPr>
        <w:t>System Architecture Data-Flow Diagram:</w:t>
      </w:r>
    </w:p>
    <w:p>
      <w:pPr>
        <w:spacing w:after="120"/>
        <w:jc w:val="center"/>
      </w:pPr>
      <w:r>
        <w:rPr>
          <w:rFonts w:ascii="Courier New" w:hAnsi="Courier New"/>
          <w:b/>
          <w:i w:val="0"/>
          <w:color w:val="1A5490"/>
          <w:sz w:val="19"/>
        </w:rPr>
        <w:t>+-------------------+     +------------------+     +-------------------+</w:t>
        <w:br/>
        <w:t>| Front Camera Scan | --&gt; | MediaPipe Detector| --&gt; | TFLite Embedding  |</w:t>
        <w:br/>
        <w:t>| (Real-time Video) |     |  (Liveness Check)|     |  (128-Dim Vector) |</w:t>
        <w:br/>
        <w:t>+-------------------+     +------------------+     +-------------------+</w:t>
        <w:br/>
        <w:t xml:space="preserve">                                                             |</w:t>
        <w:br/>
        <w:t xml:space="preserve">                                                             v</w:t>
        <w:br/>
        <w:t>+-------------------+     +------------------+     +-------------------+</w:t>
        <w:br/>
        <w:t>| Central Datalake  | &lt;-- | Sync Queue check | &lt;-- | Offline SQLite DB |</w:t>
        <w:br/>
        <w:t>| (REST API Online) |     |  (NetInfo Poll)  |     | (nhai_attendance) |</w:t>
        <w:br/>
        <w:t>+-------------------+     +------------------+     +-------------------+</w:t>
        <w:br/>
      </w:r>
    </w:p>
    <w:p>
      <w:pPr>
        <w:pStyle w:val="Heading1"/>
      </w:pPr>
      <w:r>
        <w:rPr>
          <w:color w:val="1A5490"/>
        </w:rPr>
        <w:t>2. React Native Frontend &amp; System Architecture</w:t>
      </w:r>
    </w:p>
    <w:p>
      <w:pPr>
        <w:spacing w:after="120"/>
      </w:pPr>
      <w:r>
        <w:rPr>
          <w:rFonts w:ascii="Calibri" w:hAnsi="Calibri"/>
          <w:b w:val="0"/>
          <w:i w:val="0"/>
          <w:color w:val="333333"/>
          <w:sz w:val="22"/>
        </w:rPr>
        <w:t>The system frontend is bootstrapped using React Native (v0.74.5) to run efficiently on field-deployed Android smartphones. The application components are organized as follows:</w:t>
      </w:r>
    </w:p>
    <w:p>
      <w:pPr>
        <w:pStyle w:val="ListBullet"/>
      </w:pPr>
      <w:r>
        <w:rPr>
          <w:rFonts w:ascii="Calibri" w:hAnsi="Calibri"/>
          <w:b/>
        </w:rPr>
        <w:t xml:space="preserve">SplashScreen.tsx: </w:t>
      </w:r>
      <w:r>
        <w:rPr>
          <w:rFonts w:ascii="Calibri" w:hAnsi="Calibri"/>
        </w:rPr>
        <w:t>Controls the initial booting process, initializes the database connection, performs schema self-healing, and runs model pre-loading routines.</w:t>
      </w:r>
    </w:p>
    <w:p>
      <w:pPr>
        <w:pStyle w:val="ListBullet"/>
      </w:pPr>
      <w:r>
        <w:rPr>
          <w:rFonts w:ascii="Calibri" w:hAnsi="Calibri"/>
          <w:b/>
        </w:rPr>
        <w:t xml:space="preserve">LoginScreen.tsx: </w:t>
      </w:r>
      <w:r>
        <w:rPr>
          <w:rFonts w:ascii="Calibri" w:hAnsi="Calibri"/>
        </w:rPr>
        <w:t>Provides employee login (checking Employee ID and department) and admin login, using restricted admin credentials.</w:t>
      </w:r>
    </w:p>
    <w:p>
      <w:pPr>
        <w:pStyle w:val="ListBullet"/>
      </w:pPr>
      <w:r>
        <w:rPr>
          <w:rFonts w:ascii="Calibri" w:hAnsi="Calibri"/>
          <w:b/>
        </w:rPr>
        <w:t xml:space="preserve">AdminDashboardScreen.tsx: </w:t>
      </w:r>
      <w:r>
        <w:rPr>
          <w:rFonts w:ascii="Calibri" w:hAnsi="Calibri"/>
        </w:rPr>
        <w:t>Serves as the administrative control panel, allowing managers to register new employee profiles, create geofence sites, and monitor synchronization states.</w:t>
      </w:r>
    </w:p>
    <w:p>
      <w:pPr>
        <w:pStyle w:val="ListBullet"/>
      </w:pPr>
      <w:r>
        <w:rPr>
          <w:rFonts w:ascii="Calibri" w:hAnsi="Calibri"/>
          <w:b/>
        </w:rPr>
        <w:t xml:space="preserve">ManageSitesScreen.tsx: </w:t>
      </w:r>
      <w:r>
        <w:rPr>
          <w:rFonts w:ascii="Calibri" w:hAnsi="Calibri"/>
        </w:rPr>
        <w:t>Uses an interactive map to select, configure, and delete geofenced sites.</w:t>
      </w:r>
    </w:p>
    <w:p>
      <w:pPr>
        <w:pStyle w:val="ListBullet"/>
      </w:pPr>
      <w:r>
        <w:rPr>
          <w:rFonts w:ascii="Calibri" w:hAnsi="Calibri"/>
          <w:b/>
        </w:rPr>
        <w:t xml:space="preserve">FaceAuthScreen.tsx: </w:t>
      </w:r>
      <w:r>
        <w:rPr>
          <w:rFonts w:ascii="Calibri" w:hAnsi="Calibri"/>
        </w:rPr>
        <w:t>Manages camera state, checks permission guidelines, and displays alignment overlays for facial verification.</w:t>
      </w:r>
    </w:p>
    <w:p>
      <w:pPr>
        <w:pStyle w:val="ListBullet"/>
      </w:pPr>
      <w:r>
        <w:rPr>
          <w:rFonts w:ascii="Calibri" w:hAnsi="Calibri"/>
          <w:b/>
        </w:rPr>
        <w:t xml:space="preserve">LivenessScreen.tsx: </w:t>
      </w:r>
      <w:r>
        <w:rPr>
          <w:rFonts w:ascii="Calibri" w:hAnsi="Calibri"/>
        </w:rPr>
        <w:t>Executes frame-by-frame anti-spoofing via the blink verification state machine.</w:t>
      </w:r>
    </w:p>
    <w:p>
      <w:pPr>
        <w:pStyle w:val="ListBullet"/>
      </w:pPr>
      <w:r>
        <w:rPr>
          <w:rFonts w:ascii="Calibri" w:hAnsi="Calibri"/>
          <w:b/>
        </w:rPr>
        <w:t xml:space="preserve">RecognitionScreen.tsx: </w:t>
      </w:r>
      <w:r>
        <w:rPr>
          <w:rFonts w:ascii="Calibri" w:hAnsi="Calibri"/>
        </w:rPr>
        <w:t>Handles the local face verification process by computing cosine similarity against SQLite profiles.</w:t>
      </w:r>
    </w:p>
    <w:p>
      <w:pPr>
        <w:pStyle w:val="ListBullet"/>
      </w:pPr>
      <w:r>
        <w:rPr>
          <w:rFonts w:ascii="Calibri" w:hAnsi="Calibri"/>
          <w:b/>
        </w:rPr>
        <w:t xml:space="preserve">ResultScreen.tsx: </w:t>
      </w:r>
      <w:r>
        <w:rPr>
          <w:rFonts w:ascii="Calibri" w:hAnsi="Calibri"/>
        </w:rPr>
        <w:t>Generates attendance receipts and displays feedback summaries (time spent, match confidence).</w:t>
      </w:r>
    </w:p>
    <w:p>
      <w:pPr>
        <w:pStyle w:val="ListBullet"/>
      </w:pPr>
      <w:r>
        <w:rPr>
          <w:rFonts w:ascii="Calibri" w:hAnsi="Calibri"/>
          <w:b/>
        </w:rPr>
        <w:t xml:space="preserve">SyncScreen.tsx: </w:t>
      </w:r>
      <w:r>
        <w:rPr>
          <w:rFonts w:ascii="Calibri" w:hAnsi="Calibri"/>
        </w:rPr>
        <w:t>Presents the Datalake 3.0 synchronization dashboard, displaying local logs, network connectivity status, and sync logs.</w:t>
      </w:r>
    </w:p>
    <w:p>
      <w:pPr>
        <w:pStyle w:val="Heading1"/>
      </w:pPr>
      <w:r>
        <w:rPr>
          <w:color w:val="1A5490"/>
        </w:rPr>
        <w:t>3. Local ML Core: MediaPipe Detector &amp; TFLite Embeddings</w:t>
      </w:r>
    </w:p>
    <w:p>
      <w:pPr>
        <w:spacing w:after="120"/>
      </w:pPr>
      <w:r>
        <w:rPr>
          <w:rFonts w:ascii="Calibri" w:hAnsi="Calibri"/>
          <w:b w:val="0"/>
          <w:i w:val="0"/>
          <w:color w:val="333333"/>
          <w:sz w:val="22"/>
        </w:rPr>
        <w:t>The biometric engine uses two distinct models to process images on-device:</w:t>
      </w:r>
    </w:p>
    <w:p>
      <w:pPr>
        <w:pStyle w:val="ListBullet"/>
        <w:spacing w:after="120"/>
      </w:pPr>
      <w:r>
        <w:rPr>
          <w:rFonts w:ascii="Calibri" w:hAnsi="Calibri"/>
          <w:b/>
          <w:i w:val="0"/>
          <w:color w:val="333333"/>
          <w:sz w:val="22"/>
        </w:rPr>
        <w:t xml:space="preserve">MediaPipe Face Detection: </w:t>
      </w:r>
      <w:r>
        <w:rPr>
          <w:rFonts w:ascii="Calibri" w:hAnsi="Calibri"/>
          <w:b w:val="0"/>
          <w:i w:val="0"/>
          <w:color w:val="333333"/>
          <w:sz w:val="22"/>
        </w:rPr>
        <w:t>Tracks face bounding box landmarks in real-time. It measures eyes openness probability scores at 30 fps, using ~2.4MB of memory.</w:t>
      </w:r>
    </w:p>
    <w:p>
      <w:pPr>
        <w:pStyle w:val="ListBullet"/>
        <w:spacing w:after="120"/>
      </w:pPr>
      <w:r>
        <w:rPr>
          <w:rFonts w:ascii="Calibri" w:hAnsi="Calibri"/>
          <w:b/>
          <w:i w:val="0"/>
          <w:color w:val="333333"/>
          <w:sz w:val="22"/>
        </w:rPr>
        <w:t xml:space="preserve">TensorFlow Lite Face Recognition: </w:t>
      </w:r>
      <w:r>
        <w:rPr>
          <w:rFonts w:ascii="Calibri" w:hAnsi="Calibri"/>
          <w:b w:val="0"/>
          <w:i w:val="0"/>
          <w:color w:val="333333"/>
          <w:sz w:val="22"/>
        </w:rPr>
        <w:t>A MobileNet-based convolutional network that converts a cropped face image into a 128-dimensional floating point vector (embedding) representing unique facial geometries.</w:t>
      </w:r>
    </w:p>
    <w:p>
      <w:pPr>
        <w:pStyle w:val="Heading2"/>
      </w:pPr>
      <w:r>
        <w:rPr>
          <w:color w:val="FF9800"/>
        </w:rPr>
        <w:t>Biometric Cosine Similarity Matching Math</w:t>
      </w:r>
    </w:p>
    <w:p>
      <w:pPr>
        <w:spacing w:after="120"/>
      </w:pPr>
      <w:r>
        <w:rPr>
          <w:rFonts w:ascii="Calibri" w:hAnsi="Calibri"/>
          <w:b w:val="0"/>
          <w:i w:val="0"/>
          <w:color w:val="333333"/>
          <w:sz w:val="22"/>
        </w:rPr>
        <w:t>To verify identity, the system compares the live face vector to the registered vector from SQLite. It uses Cosine Similarity, measuring the angular orientation difference between the vectors in 128-dimensional space. This approach makes the match invariant to lighting variations:</w:t>
      </w:r>
    </w:p>
    <w:p>
      <w:pPr>
        <w:spacing w:after="120"/>
        <w:jc w:val="center"/>
      </w:pPr>
      <w:r>
        <w:rPr>
          <w:rFonts w:ascii="Courier New" w:hAnsi="Courier New"/>
          <w:b/>
          <w:i w:val="0"/>
          <w:color w:val="1A5490"/>
          <w:sz w:val="24"/>
        </w:rPr>
        <w:t>Cosine Similarity = ( A ⋅ B ) / ( ||A|| ||B|| )</w:t>
      </w:r>
    </w:p>
    <w:p>
      <w:pPr>
        <w:spacing w:after="120"/>
        <w:jc w:val="center"/>
      </w:pPr>
      <w:r>
        <w:rPr>
          <w:rFonts w:ascii="Courier New" w:hAnsi="Courier New"/>
          <w:b/>
          <w:i w:val="0"/>
          <w:color w:val="1A5490"/>
          <w:sz w:val="22"/>
        </w:rPr>
        <w:t>||A|| = √( Σ A_i² ),   ||B|| = √( Σ B_i² ),   A ⋅ B = Σ ( A_i * B_i )</w:t>
      </w:r>
    </w:p>
    <w:p>
      <w:pPr>
        <w:spacing w:after="120"/>
      </w:pPr>
      <w:r>
        <w:rPr>
          <w:rFonts w:ascii="Calibri" w:hAnsi="Calibri"/>
          <w:b w:val="0"/>
          <w:i w:val="0"/>
          <w:color w:val="333333"/>
          <w:sz w:val="22"/>
        </w:rPr>
        <w:t>If Cosine Similarity ≥ 0.65 (65.0%), the system confirms a match. The application also supports Euclidean Distance for alternative distance calculations:</w:t>
      </w:r>
    </w:p>
    <w:p>
      <w:pPr>
        <w:spacing w:after="120"/>
        <w:jc w:val="center"/>
      </w:pPr>
      <w:r>
        <w:rPr>
          <w:rFonts w:ascii="Courier New" w:hAnsi="Courier New"/>
          <w:b/>
          <w:i w:val="0"/>
          <w:color w:val="1A5490"/>
          <w:sz w:val="24"/>
        </w:rPr>
        <w:t>Euclidean Distance = √( Σ ( A_i - B_i )² )</w:t>
      </w:r>
    </w:p>
    <w:tbl>
      <w:tblPr>
        <w:tblW w:type="auto" w:w="0"/>
        <w:jc w:val="center"/>
        <w:tblLook w:firstColumn="1" w:firstRow="1" w:lastColumn="0" w:lastRow="0" w:noHBand="0" w:noVBand="1" w:val="04A0"/>
      </w:tblPr>
      <w:tblGrid>
        <w:gridCol w:w="9360"/>
      </w:tblGrid>
      <w:tr>
        <w:tc>
          <w:tcPr>
            <w:tcW w:type="dxa" w:w="9360"/>
            <w:shd w:fill="F2F6FA"/>
            <w:tcMar>
              <w:top w:w="120" w:type="dxa"/>
              <w:bottom w:w="120" w:type="dxa"/>
              <w:left w:w="180" w:type="dxa"/>
              <w:right w:w="180" w:type="dxa"/>
            </w:tcMar>
            <w:tcBorders>
              <w:left w:val="single" w:sz="24" w:space="0" w:color="1A5490"/>
              <w:top w:val="none"/>
              <w:bottom w:val="none"/>
              <w:right w:val="none"/>
            </w:tcBorders>
          </w:tcPr>
          <w:p>
            <w:pPr>
              <w:spacing w:after="120"/>
            </w:pPr>
            <w:r>
              <w:rPr>
                <w:rFonts w:ascii="Calibri" w:hAnsi="Calibri"/>
                <w:b/>
                <w:i w:val="0"/>
                <w:color w:val="1A5490"/>
                <w:sz w:val="22"/>
              </w:rPr>
              <w:t xml:space="preserve">NOTE: </w:t>
            </w:r>
            <w:r>
              <w:rPr>
                <w:rFonts w:ascii="Calibri" w:hAnsi="Calibri"/>
                <w:b w:val="0"/>
                <w:i/>
                <w:color w:val="333333"/>
                <w:sz w:val="22"/>
              </w:rPr>
              <w:t>Vector normalization is computed prior to comparison to reduce Euclidean distance computation overhead, ensuring that cosine similarity maps directly to spatial bounds.</w:t>
            </w:r>
          </w:p>
        </w:tc>
      </w:tr>
    </w:tbl>
    <w:p>
      <w:r>
        <w:br w:type="page"/>
      </w:r>
    </w:p>
    <w:p>
      <w:pPr>
        <w:pStyle w:val="Heading1"/>
      </w:pPr>
      <w:r>
        <w:rPr>
          <w:color w:val="1A5490"/>
        </w:rPr>
        <w:t>4. Geofencing Calculation Logic &amp; Coordinate Fallbacks</w:t>
      </w:r>
    </w:p>
    <w:p>
      <w:pPr>
        <w:spacing w:after="120"/>
      </w:pPr>
      <w:r>
        <w:rPr>
          <w:rFonts w:ascii="Calibri" w:hAnsi="Calibri"/>
          <w:b w:val="0"/>
          <w:i w:val="0"/>
          <w:color w:val="333333"/>
          <w:sz w:val="22"/>
        </w:rPr>
        <w:t>To ensure employees log attendance on-site, the app runs local geofence validation. Coordinates are checked against dynamic boundaries loaded from SQLite, using two geofence geometries:</w:t>
      </w:r>
    </w:p>
    <w:p>
      <w:pPr>
        <w:pStyle w:val="ListBullet"/>
        <w:spacing w:after="120"/>
      </w:pPr>
      <w:r>
        <w:rPr>
          <w:rFonts w:ascii="Calibri" w:hAnsi="Calibri"/>
          <w:b/>
          <w:i w:val="0"/>
          <w:color w:val="333333"/>
          <w:sz w:val="22"/>
        </w:rPr>
        <w:t xml:space="preserve">Circular Boundary: </w:t>
      </w:r>
      <w:r>
        <w:rPr>
          <w:rFonts w:ascii="Calibri" w:hAnsi="Calibri"/>
          <w:b w:val="0"/>
          <w:i w:val="0"/>
          <w:color w:val="333333"/>
          <w:sz w:val="22"/>
        </w:rPr>
        <w:t>Calculated using the Haversine formula, which computes the distance between two points on a sphere, accounting for the Earth's curvature:</w:t>
      </w:r>
    </w:p>
    <w:p>
      <w:pPr>
        <w:spacing w:after="120"/>
        <w:jc w:val="center"/>
      </w:pPr>
      <w:r>
        <w:rPr>
          <w:rFonts w:ascii="Courier New" w:hAnsi="Courier New"/>
          <w:b/>
          <w:i w:val="0"/>
          <w:color w:val="1A5490"/>
          <w:sz w:val="22"/>
        </w:rPr>
        <w:t>d = 2 * R * arcsin( √( sin²(Δφ/2) + cos(φ_1) * cos(φ_2) * sin²(Δλ/2) ) )</w:t>
      </w:r>
    </w:p>
    <w:p>
      <w:pPr>
        <w:spacing w:after="120"/>
      </w:pPr>
      <w:r>
        <w:rPr>
          <w:rFonts w:ascii="Calibri" w:hAnsi="Calibri"/>
          <w:b w:val="0"/>
          <w:i w:val="0"/>
          <w:color w:val="333333"/>
          <w:sz w:val="22"/>
        </w:rPr>
        <w:t>Where R = 6,371,000 meters, φ is latitude in radians, and λ is longitude in radians. If d ≤ boundary radius, the user is inside the geofence.</w:t>
      </w:r>
    </w:p>
    <w:p>
      <w:pPr>
        <w:pStyle w:val="ListBullet"/>
        <w:spacing w:after="120"/>
      </w:pPr>
      <w:r>
        <w:rPr>
          <w:rFonts w:ascii="Calibri" w:hAnsi="Calibri"/>
          <w:b/>
          <w:i w:val="0"/>
          <w:color w:val="333333"/>
          <w:sz w:val="22"/>
        </w:rPr>
        <w:t xml:space="preserve">Square Boundary: </w:t>
      </w:r>
      <w:r>
        <w:rPr>
          <w:rFonts w:ascii="Calibri" w:hAnsi="Calibri"/>
          <w:b w:val="0"/>
          <w:i w:val="0"/>
          <w:color w:val="333333"/>
          <w:sz w:val="22"/>
        </w:rPr>
        <w:t>Constructed by calculating latitude and longitude offsets based on the target radius in meters:</w:t>
      </w:r>
    </w:p>
    <w:p>
      <w:pPr>
        <w:spacing w:after="120"/>
        <w:jc w:val="center"/>
      </w:pPr>
      <w:r>
        <w:rPr>
          <w:rFonts w:ascii="Courier New" w:hAnsi="Courier New"/>
          <w:b/>
          <w:i w:val="0"/>
          <w:color w:val="1A5490"/>
          <w:sz w:val="22"/>
        </w:rPr>
        <w:t>Lat Delta = Radius / 111,111</w:t>
        <w:br/>
        <w:t>Lon Delta = Radius / (111,111 * cos(Latitude * π / 180))</w:t>
      </w:r>
    </w:p>
    <w:p>
      <w:pPr>
        <w:spacing w:after="120"/>
      </w:pPr>
      <w:r>
        <w:rPr>
          <w:rFonts w:ascii="Calibri" w:hAnsi="Calibri"/>
          <w:b w:val="0"/>
          <w:i w:val="0"/>
          <w:color w:val="333333"/>
          <w:sz w:val="22"/>
        </w:rPr>
        <w:t>This defines the bounding coordinates: [Lat ± Lat Delta, Lon ± Lon Delta]. The system checks if the user's coordinate falls within these bounds.</w:t>
      </w:r>
    </w:p>
    <w:p>
      <w:pPr>
        <w:spacing w:after="120"/>
      </w:pPr>
      <w:r>
        <w:rPr>
          <w:rFonts w:ascii="Calibri" w:hAnsi="Calibri"/>
          <w:b w:val="0"/>
          <w:i w:val="0"/>
          <w:color w:val="333333"/>
          <w:sz w:val="22"/>
        </w:rPr>
        <w:t>Intelligent GPS Fallback: When the device loses GPS signal (e.g. inside tunnels or deep valleys), the geofence engine applies a safety fallback. It uses the official coordinates of the NHAI Central HQ Office in Delhi (28.5702° N, 77.2241° E) as the location, flagging the log with 'Unable to fetch location' for administrative audits.</w:t>
      </w:r>
    </w:p>
    <w:p>
      <w:pPr>
        <w:pStyle w:val="Heading1"/>
      </w:pPr>
      <w:r>
        <w:rPr>
          <w:color w:val="1A5490"/>
        </w:rPr>
        <w:t>5. Anti-Spoofing Blink Liveness State Machine</w:t>
      </w:r>
    </w:p>
    <w:p>
      <w:pPr>
        <w:spacing w:after="120"/>
      </w:pPr>
      <w:r>
        <w:rPr>
          <w:rFonts w:ascii="Calibri" w:hAnsi="Calibri"/>
          <w:b w:val="0"/>
          <w:i w:val="0"/>
          <w:color w:val="333333"/>
          <w:sz w:val="22"/>
        </w:rPr>
        <w:t>To prevent photo and video spoofing, the app uses a 3-state eye-blink validation state machine:</w:t>
      </w:r>
    </w:p>
    <w:p>
      <w:pPr>
        <w:pStyle w:val="ListBullet"/>
        <w:spacing w:after="120"/>
      </w:pPr>
      <w:r>
        <w:rPr>
          <w:rFonts w:ascii="Calibri" w:hAnsi="Calibri"/>
          <w:b/>
          <w:i w:val="0"/>
          <w:color w:val="333333"/>
          <w:sz w:val="22"/>
        </w:rPr>
        <w:t xml:space="preserve">State 1 (waiting_open / eyes_open): </w:t>
      </w:r>
      <w:r>
        <w:rPr>
          <w:rFonts w:ascii="Calibri" w:hAnsi="Calibri"/>
          <w:b w:val="0"/>
          <w:i w:val="0"/>
          <w:color w:val="333333"/>
          <w:sz w:val="22"/>
        </w:rPr>
        <w:t>Waits for the user to align their face and look at the camera. Triggered when the average open probability of both eyes is ≥ 0.70.</w:t>
      </w:r>
    </w:p>
    <w:p>
      <w:pPr>
        <w:pStyle w:val="ListBullet"/>
        <w:spacing w:after="120"/>
      </w:pPr>
      <w:r>
        <w:rPr>
          <w:rFonts w:ascii="Calibri" w:hAnsi="Calibri"/>
          <w:b/>
          <w:i w:val="0"/>
          <w:color w:val="333333"/>
          <w:sz w:val="22"/>
        </w:rPr>
        <w:t xml:space="preserve">State 2 (eyes_closed): </w:t>
      </w:r>
      <w:r>
        <w:rPr>
          <w:rFonts w:ascii="Calibri" w:hAnsi="Calibri"/>
          <w:b w:val="0"/>
          <w:i w:val="0"/>
          <w:color w:val="333333"/>
          <w:sz w:val="22"/>
        </w:rPr>
        <w:t>Detects eye closure. Triggered when the average open probability falls below ≤ 0.25.</w:t>
      </w:r>
    </w:p>
    <w:p>
      <w:pPr>
        <w:pStyle w:val="ListBullet"/>
        <w:spacing w:after="120"/>
      </w:pPr>
      <w:r>
        <w:rPr>
          <w:rFonts w:ascii="Calibri" w:hAnsi="Calibri"/>
          <w:b/>
          <w:i w:val="0"/>
          <w:color w:val="333333"/>
          <w:sz w:val="22"/>
        </w:rPr>
        <w:t xml:space="preserve">State 3 (blink_confirmed): </w:t>
      </w:r>
      <w:r>
        <w:rPr>
          <w:rFonts w:ascii="Calibri" w:hAnsi="Calibri"/>
          <w:b w:val="0"/>
          <w:i w:val="0"/>
          <w:color w:val="333333"/>
          <w:sz w:val="22"/>
        </w:rPr>
        <w:t>Confirms eye re-opening. Triggered when the average open probability rises back ≥ 0.70. This completes a valid active physical blink.</w:t>
      </w:r>
    </w:p>
    <w:p>
      <w:pPr>
        <w:spacing w:after="120"/>
        <w:jc w:val="center"/>
      </w:pPr>
      <w:r>
        <w:rPr>
          <w:rFonts w:ascii="Courier New" w:hAnsi="Courier New"/>
          <w:b/>
          <w:i w:val="0"/>
          <w:color w:val="1A5490"/>
          <w:sz w:val="19"/>
        </w:rPr>
        <w:t xml:space="preserve"> +---------------------------------------------------------+</w:t>
        <w:br/>
        <w:t xml:space="preserve"> |                                                         |</w:t>
        <w:br/>
        <w:t xml:space="preserve"> |  [State: waiting_open] --(Avg Prob &gt;= 0.70)--&gt; [eyes_open]|</w:t>
        <w:br/>
        <w:t xml:space="preserve"> |                                                  |      |</w:t>
        <w:br/>
        <w:t xml:space="preserve"> |                                        (Avg Prob &lt;= 0.25)|</w:t>
        <w:br/>
        <w:t xml:space="preserve"> |                                                  v      |</w:t>
        <w:br/>
        <w:t xml:space="preserve"> |  [blink_confirmed] &lt;--(Avg Prob &gt;= 0.70)-- [eyes_closed]|</w:t>
        <w:br/>
        <w:t xml:space="preserve"> |                                                         |</w:t>
        <w:br/>
        <w:t xml:space="preserve"> +---------------------------------------------------------+</w:t>
        <w:br/>
      </w:r>
    </w:p>
    <w:p>
      <w:r>
        <w:br w:type="page"/>
      </w:r>
    </w:p>
    <w:p>
      <w:pPr>
        <w:pStyle w:val="Heading1"/>
      </w:pPr>
      <w:r>
        <w:rPr>
          <w:color w:val="1A5490"/>
        </w:rPr>
        <w:t>6. SQLite Database Design &amp; Schema Specifications</w:t>
      </w:r>
    </w:p>
    <w:p>
      <w:pPr>
        <w:spacing w:after="120"/>
      </w:pPr>
      <w:r>
        <w:rPr>
          <w:rFonts w:ascii="Calibri" w:hAnsi="Calibri"/>
          <w:b w:val="0"/>
          <w:i w:val="0"/>
          <w:color w:val="333333"/>
          <w:sz w:val="22"/>
        </w:rPr>
        <w:t>Offline storage is managed via SQLite. The schema contains five tables designed for rapid transactions:</w:t>
      </w:r>
    </w:p>
    <w:p>
      <w:pPr>
        <w:pStyle w:val="ListBullet"/>
      </w:pPr>
      <w:r>
        <w:rPr>
          <w:rFonts w:ascii="Calibri" w:hAnsi="Calibri"/>
          <w:b/>
        </w:rPr>
        <w:t xml:space="preserve">employees: </w:t>
      </w:r>
      <w:r>
        <w:rPr>
          <w:rFonts w:ascii="Calibri" w:hAnsi="Calibri"/>
        </w:rPr>
        <w:t>Stores registered profiles. Keys: id (Primary Key, e.g. NHAI-101), name, department, photo_path, face_vector (serialized embedding JSON).</w:t>
      </w:r>
    </w:p>
    <w:p>
      <w:pPr>
        <w:pStyle w:val="ListBullet"/>
      </w:pPr>
      <w:r>
        <w:rPr>
          <w:rFonts w:ascii="Calibri" w:hAnsi="Calibri"/>
          <w:b/>
        </w:rPr>
        <w:t xml:space="preserve">sites: </w:t>
      </w:r>
      <w:r>
        <w:rPr>
          <w:rFonts w:ascii="Calibri" w:hAnsi="Calibri"/>
        </w:rPr>
        <w:t>Stores geofence boundaries. Keys: site_id (Primary Key), site_name, latitude, longitude, radius, created_at, geofence_type (circular/square).</w:t>
      </w:r>
    </w:p>
    <w:p>
      <w:pPr>
        <w:pStyle w:val="ListBullet"/>
      </w:pPr>
      <w:r>
        <w:rPr>
          <w:rFonts w:ascii="Calibri" w:hAnsi="Calibri"/>
          <w:b/>
        </w:rPr>
        <w:t xml:space="preserve">attendance: </w:t>
      </w:r>
      <w:r>
        <w:rPr>
          <w:rFonts w:ascii="Calibri" w:hAnsi="Calibri"/>
        </w:rPr>
        <w:t>Logs attendance transactions. Keys: id (Auto increment), uuid (Unique Identifier), employee_id, department, timestamp, check_type (in/out), location (coords/label), verified, synced (0/1), face_confidence, liveness_confidence, recognition_confidence, created_at, synced_at, site_id, duration.</w:t>
      </w:r>
    </w:p>
    <w:p>
      <w:pPr>
        <w:pStyle w:val="ListBullet"/>
      </w:pPr>
      <w:r>
        <w:rPr>
          <w:rFonts w:ascii="Calibri" w:hAnsi="Calibri"/>
          <w:b/>
        </w:rPr>
        <w:t xml:space="preserve">sessions: </w:t>
      </w:r>
      <w:r>
        <w:rPr>
          <w:rFonts w:ascii="Calibri" w:hAnsi="Calibri"/>
        </w:rPr>
        <w:t>Manages login sessions. Keys: id, employee_id, department, start_time, end_time, is_active (0/1), created_at, site_id.</w:t>
      </w:r>
    </w:p>
    <w:p>
      <w:pPr>
        <w:pStyle w:val="ListBullet"/>
      </w:pPr>
      <w:r>
        <w:rPr>
          <w:rFonts w:ascii="Calibri" w:hAnsi="Calibri"/>
          <w:b/>
        </w:rPr>
        <w:t xml:space="preserve">sync_queue: </w:t>
      </w:r>
      <w:r>
        <w:rPr>
          <w:rFonts w:ascii="Calibri" w:hAnsi="Calibri"/>
        </w:rPr>
        <w:t>Tracks logs queued for remote upload. Keys: id, attendance_id (Unique), employee_id, timestamp, status, retry_count, created_at, last_retry_at.</w:t>
      </w:r>
    </w:p>
    <w:p>
      <w:pPr>
        <w:spacing w:after="120"/>
      </w:pPr>
      <w:r>
        <w:rPr>
          <w:rFonts w:ascii="Calibri" w:hAnsi="Calibri"/>
          <w:b w:val="0"/>
          <w:i w:val="0"/>
          <w:color w:val="333333"/>
          <w:sz w:val="22"/>
        </w:rPr>
        <w:t>Performance Indexes: The database builds custom indexes during initialization to keep query latencies under 15ms:</w:t>
        <w:br/>
        <w:t xml:space="preserve">  • CREATE INDEX IF NOT EXISTS idx_employee_id ON attendance(employee_id);</w:t>
        <w:br/>
        <w:t xml:space="preserve">  • CREATE INDEX IF NOT EXISTS idx_timestamp ON attendance(timestamp);</w:t>
        <w:br/>
        <w:t xml:space="preserve">  • CREATE INDEX IF NOT EXISTS idx_synced ON attendance(synced);</w:t>
        <w:br/>
        <w:t xml:space="preserve">  • CREATE INDEX IF NOT EXISTS idx_session_employee ON sessions(employee_id);</w:t>
      </w:r>
    </w:p>
    <w:p>
      <w:pPr>
        <w:pStyle w:val="Heading1"/>
      </w:pPr>
      <w:r>
        <w:rPr>
          <w:color w:val="1A5490"/>
        </w:rPr>
        <w:t>7. Network Status Synchronization Queue (Datalake 3.0)</w:t>
      </w:r>
    </w:p>
    <w:p>
      <w:pPr>
        <w:spacing w:after="120"/>
      </w:pPr>
      <w:r>
        <w:rPr>
          <w:rFonts w:ascii="Calibri" w:hAnsi="Calibri"/>
          <w:b w:val="0"/>
          <w:i w:val="0"/>
          <w:color w:val="333333"/>
          <w:sz w:val="22"/>
        </w:rPr>
        <w:t>The synchronization engine manages data transfer to the central servers. It operates as follows:</w:t>
      </w:r>
    </w:p>
    <w:p>
      <w:pPr>
        <w:pStyle w:val="ListBullet"/>
      </w:pPr>
      <w:r>
        <w:rPr>
          <w:rFonts w:ascii="Calibri" w:hAnsi="Calibri"/>
          <w:b/>
        </w:rPr>
        <w:t xml:space="preserve">Offline Logging: </w:t>
      </w:r>
      <w:r>
        <w:rPr>
          <w:rFonts w:ascii="Calibri" w:hAnsi="Calibri"/>
        </w:rPr>
        <w:t>When a worker signs in, a log is written to the attendance table and the sync_queue with synced=0.</w:t>
      </w:r>
    </w:p>
    <w:p>
      <w:pPr>
        <w:pStyle w:val="ListBullet"/>
      </w:pPr>
      <w:r>
        <w:rPr>
          <w:rFonts w:ascii="Calibri" w:hAnsi="Calibri"/>
          <w:b/>
        </w:rPr>
        <w:t xml:space="preserve">Connectivity Polling: </w:t>
      </w:r>
      <w:r>
        <w:rPr>
          <w:rFonts w:ascii="Calibri" w:hAnsi="Calibri"/>
        </w:rPr>
        <w:t>The NetInfo module listens for network state changes. If connection is restored, it wakes the sync process.</w:t>
      </w:r>
    </w:p>
    <w:p>
      <w:pPr>
        <w:pStyle w:val="ListBullet"/>
      </w:pPr>
      <w:r>
        <w:rPr>
          <w:rFonts w:ascii="Calibri" w:hAnsi="Calibri"/>
          <w:b/>
        </w:rPr>
        <w:t xml:space="preserve">Background Sync Queue: </w:t>
      </w:r>
      <w:r>
        <w:rPr>
          <w:rFonts w:ascii="Calibri" w:hAnsi="Calibri"/>
        </w:rPr>
        <w:t>The queue reads unsynced logs and uploads them via HTTP POST requests.</w:t>
      </w:r>
    </w:p>
    <w:p>
      <w:pPr>
        <w:pStyle w:val="ListBullet"/>
      </w:pPr>
      <w:r>
        <w:rPr>
          <w:rFonts w:ascii="Calibri" w:hAnsi="Calibri"/>
          <w:b/>
        </w:rPr>
        <w:t xml:space="preserve">Clean up and Mark Synced: </w:t>
      </w:r>
      <w:r>
        <w:rPr>
          <w:rFonts w:ascii="Calibri" w:hAnsi="Calibri"/>
        </w:rPr>
        <w:t>If the upload succeeds, the record is marked synced=1 in SQLite, updating the synced_at field and removing it from the sync_queue.</w:t>
      </w:r>
    </w:p>
    <w:p/>
    <w:p>
      <w:pPr>
        <w:pStyle w:val="Heading1"/>
      </w:pPr>
      <w:r>
        <w:rPr>
          <w:color w:val="1A5490"/>
        </w:rPr>
        <w:t>8. Performance Benchmarks</w:t>
      </w:r>
    </w:p>
    <w:p>
      <w:pPr>
        <w:spacing w:after="120"/>
      </w:pPr>
      <w:r>
        <w:rPr>
          <w:rFonts w:ascii="Calibri" w:hAnsi="Calibri"/>
          <w:b w:val="0"/>
          <w:i w:val="0"/>
          <w:color w:val="333333"/>
          <w:sz w:val="22"/>
        </w:rPr>
        <w:t>The system has been benchmarked on field-deployed Android devices to verify low-latency operation:</w:t>
      </w:r>
    </w:p>
    <w:tbl>
      <w:tblPr>
        <w:tblW w:type="auto" w:w="0"/>
        <w:jc w:val="center"/>
        <w:tblLook w:firstColumn="1" w:firstRow="1" w:lastColumn="0" w:lastRow="0" w:noHBand="0" w:noVBand="1" w:val="04A0"/>
      </w:tblPr>
      <w:tblGrid>
        <w:gridCol w:w="3120"/>
        <w:gridCol w:w="3120"/>
        <w:gridCol w:w="3120"/>
      </w:tblGrid>
      <w:tr>
        <w:tc>
          <w:tcPr>
            <w:tcW w:type="dxa" w:w="3120"/>
            <w:shd w:fill="1A5490"/>
            <w:tcMar>
              <w:top w:w="120" w:type="dxa"/>
              <w:bottom w:w="120" w:type="dxa"/>
              <w:left w:w="150" w:type="dxa"/>
              <w:right w:w="150" w:type="dxa"/>
            </w:tcMar>
          </w:tcPr>
          <w:p>
            <w:r>
              <w:rPr>
                <w:rFonts w:ascii="Calibri" w:hAnsi="Calibri"/>
                <w:b/>
                <w:color w:val="FFFFFF"/>
                <w:sz w:val="20"/>
              </w:rPr>
              <w:t>Operation / Pipeline Phase</w:t>
            </w:r>
          </w:p>
        </w:tc>
        <w:tc>
          <w:tcPr>
            <w:tcW w:type="dxa" w:w="3120"/>
            <w:shd w:fill="1A5490"/>
            <w:tcMar>
              <w:top w:w="120" w:type="dxa"/>
              <w:bottom w:w="120" w:type="dxa"/>
              <w:left w:w="150" w:type="dxa"/>
              <w:right w:w="150" w:type="dxa"/>
            </w:tcMar>
          </w:tcPr>
          <w:p>
            <w:r>
              <w:rPr>
                <w:rFonts w:ascii="Calibri" w:hAnsi="Calibri"/>
                <w:b/>
                <w:color w:val="FFFFFF"/>
                <w:sz w:val="20"/>
              </w:rPr>
              <w:t>Average Latency (ms)</w:t>
            </w:r>
          </w:p>
        </w:tc>
        <w:tc>
          <w:tcPr>
            <w:tcW w:type="dxa" w:w="3120"/>
            <w:shd w:fill="1A5490"/>
            <w:tcMar>
              <w:top w:w="120" w:type="dxa"/>
              <w:bottom w:w="120" w:type="dxa"/>
              <w:left w:w="150" w:type="dxa"/>
              <w:right w:w="150" w:type="dxa"/>
            </w:tcMar>
          </w:tcPr>
          <w:p>
            <w:r>
              <w:rPr>
                <w:rFonts w:ascii="Calibri" w:hAnsi="Calibri"/>
                <w:b/>
                <w:color w:val="FFFFFF"/>
                <w:sz w:val="20"/>
              </w:rPr>
              <w:t>CPU / Performance Impact</w:t>
            </w:r>
          </w:p>
        </w:tc>
      </w:tr>
      <w:tr>
        <w:tc>
          <w:tcPr>
            <w:tcW w:type="dxa" w:w="3120"/>
            <w:shd w:fill="F2F6FA"/>
            <w:tcMar>
              <w:top w:w="100" w:type="dxa"/>
              <w:bottom w:w="100" w:type="dxa"/>
              <w:left w:w="150" w:type="dxa"/>
              <w:right w:w="150" w:type="dxa"/>
            </w:tcMar>
          </w:tcPr>
          <w:p>
            <w:r>
              <w:rPr>
                <w:rFonts w:ascii="Calibri" w:hAnsi="Calibri"/>
                <w:color w:val="333333"/>
                <w:sz w:val="19"/>
              </w:rPr>
              <w:t>SQLite Local Transactions (Read/Write)</w:t>
            </w:r>
          </w:p>
        </w:tc>
        <w:tc>
          <w:tcPr>
            <w:tcW w:type="dxa" w:w="3120"/>
            <w:shd w:fill="F2F6FA"/>
            <w:tcMar>
              <w:top w:w="100" w:type="dxa"/>
              <w:bottom w:w="100" w:type="dxa"/>
              <w:left w:w="150" w:type="dxa"/>
              <w:right w:w="150" w:type="dxa"/>
            </w:tcMar>
          </w:tcPr>
          <w:p>
            <w:r>
              <w:rPr>
                <w:rFonts w:ascii="Calibri" w:hAnsi="Calibri"/>
                <w:color w:val="333333"/>
                <w:sz w:val="19"/>
              </w:rPr>
              <w:t>10 - 15 ms</w:t>
            </w:r>
          </w:p>
        </w:tc>
        <w:tc>
          <w:tcPr>
            <w:tcW w:type="dxa" w:w="3120"/>
            <w:shd w:fill="F2F6FA"/>
            <w:tcMar>
              <w:top w:w="100" w:type="dxa"/>
              <w:bottom w:w="100" w:type="dxa"/>
              <w:left w:w="150" w:type="dxa"/>
              <w:right w:w="150" w:type="dxa"/>
            </w:tcMar>
          </w:tcPr>
          <w:p>
            <w:r>
              <w:rPr>
                <w:rFonts w:ascii="Calibri" w:hAnsi="Calibri"/>
                <w:color w:val="333333"/>
                <w:sz w:val="19"/>
              </w:rPr>
              <w:t>Negligible (Optimized Indexed Queries)</w:t>
            </w:r>
          </w:p>
        </w:tc>
      </w:tr>
      <w:tr>
        <w:tc>
          <w:tcPr>
            <w:tcW w:type="dxa" w:w="3120"/>
            <w:shd w:fill="FFFFFF"/>
            <w:tcMar>
              <w:top w:w="100" w:type="dxa"/>
              <w:bottom w:w="100" w:type="dxa"/>
              <w:left w:w="150" w:type="dxa"/>
              <w:right w:w="150" w:type="dxa"/>
            </w:tcMar>
          </w:tcPr>
          <w:p>
            <w:r>
              <w:rPr>
                <w:rFonts w:ascii="Calibri" w:hAnsi="Calibri"/>
                <w:color w:val="333333"/>
                <w:sz w:val="19"/>
              </w:rPr>
              <w:t>Geofence Calculations (Haversine)</w:t>
            </w:r>
          </w:p>
        </w:tc>
        <w:tc>
          <w:tcPr>
            <w:tcW w:type="dxa" w:w="3120"/>
            <w:shd w:fill="FFFFFF"/>
            <w:tcMar>
              <w:top w:w="100" w:type="dxa"/>
              <w:bottom w:w="100" w:type="dxa"/>
              <w:left w:w="150" w:type="dxa"/>
              <w:right w:w="150" w:type="dxa"/>
            </w:tcMar>
          </w:tcPr>
          <w:p>
            <w:r>
              <w:rPr>
                <w:rFonts w:ascii="Calibri" w:hAnsi="Calibri"/>
                <w:color w:val="333333"/>
                <w:sz w:val="19"/>
              </w:rPr>
              <w:t>&lt; 1 ms</w:t>
            </w:r>
          </w:p>
        </w:tc>
        <w:tc>
          <w:tcPr>
            <w:tcW w:type="dxa" w:w="3120"/>
            <w:shd w:fill="FFFFFF"/>
            <w:tcMar>
              <w:top w:w="100" w:type="dxa"/>
              <w:bottom w:w="100" w:type="dxa"/>
              <w:left w:w="150" w:type="dxa"/>
              <w:right w:w="150" w:type="dxa"/>
            </w:tcMar>
          </w:tcPr>
          <w:p>
            <w:r>
              <w:rPr>
                <w:rFonts w:ascii="Calibri" w:hAnsi="Calibri"/>
                <w:color w:val="333333"/>
                <w:sz w:val="19"/>
              </w:rPr>
              <w:t>Negligible (&lt; 0.1% CPU overhead)</w:t>
            </w:r>
          </w:p>
        </w:tc>
      </w:tr>
      <w:tr>
        <w:tc>
          <w:tcPr>
            <w:tcW w:type="dxa" w:w="3120"/>
            <w:shd w:fill="F2F6FA"/>
            <w:tcMar>
              <w:top w:w="100" w:type="dxa"/>
              <w:bottom w:w="100" w:type="dxa"/>
              <w:left w:w="150" w:type="dxa"/>
              <w:right w:w="150" w:type="dxa"/>
            </w:tcMar>
          </w:tcPr>
          <w:p>
            <w:r>
              <w:rPr>
                <w:rFonts w:ascii="Calibri" w:hAnsi="Calibri"/>
                <w:color w:val="333333"/>
                <w:sz w:val="19"/>
              </w:rPr>
              <w:t>Face Detection &amp; Alignment (MediaPipe)</w:t>
            </w:r>
          </w:p>
        </w:tc>
        <w:tc>
          <w:tcPr>
            <w:tcW w:type="dxa" w:w="3120"/>
            <w:shd w:fill="F2F6FA"/>
            <w:tcMar>
              <w:top w:w="100" w:type="dxa"/>
              <w:bottom w:w="100" w:type="dxa"/>
              <w:left w:w="150" w:type="dxa"/>
              <w:right w:w="150" w:type="dxa"/>
            </w:tcMar>
          </w:tcPr>
          <w:p>
            <w:r>
              <w:rPr>
                <w:rFonts w:ascii="Calibri" w:hAnsi="Calibri"/>
                <w:color w:val="333333"/>
                <w:sz w:val="19"/>
              </w:rPr>
              <w:t>110 - 130 ms</w:t>
            </w:r>
          </w:p>
        </w:tc>
        <w:tc>
          <w:tcPr>
            <w:tcW w:type="dxa" w:w="3120"/>
            <w:shd w:fill="F2F6FA"/>
            <w:tcMar>
              <w:top w:w="100" w:type="dxa"/>
              <w:bottom w:w="100" w:type="dxa"/>
              <w:left w:w="150" w:type="dxa"/>
              <w:right w:w="150" w:type="dxa"/>
            </w:tcMar>
          </w:tcPr>
          <w:p>
            <w:r>
              <w:rPr>
                <w:rFonts w:ascii="Calibri" w:hAnsi="Calibri"/>
                <w:color w:val="333333"/>
                <w:sz w:val="19"/>
              </w:rPr>
              <w:t>Moderate (Hardware accelerated via GPU/NPU)</w:t>
            </w:r>
          </w:p>
        </w:tc>
      </w:tr>
      <w:tr>
        <w:tc>
          <w:tcPr>
            <w:tcW w:type="dxa" w:w="3120"/>
            <w:shd w:fill="FFFFFF"/>
            <w:tcMar>
              <w:top w:w="100" w:type="dxa"/>
              <w:bottom w:w="100" w:type="dxa"/>
              <w:left w:w="150" w:type="dxa"/>
              <w:right w:w="150" w:type="dxa"/>
            </w:tcMar>
          </w:tcPr>
          <w:p>
            <w:r>
              <w:rPr>
                <w:rFonts w:ascii="Calibri" w:hAnsi="Calibri"/>
                <w:color w:val="333333"/>
                <w:sz w:val="19"/>
              </w:rPr>
              <w:t>Embedding Vector Extraction (TFLite)</w:t>
            </w:r>
          </w:p>
        </w:tc>
        <w:tc>
          <w:tcPr>
            <w:tcW w:type="dxa" w:w="3120"/>
            <w:shd w:fill="FFFFFF"/>
            <w:tcMar>
              <w:top w:w="100" w:type="dxa"/>
              <w:bottom w:w="100" w:type="dxa"/>
              <w:left w:w="150" w:type="dxa"/>
              <w:right w:w="150" w:type="dxa"/>
            </w:tcMar>
          </w:tcPr>
          <w:p>
            <w:r>
              <w:rPr>
                <w:rFonts w:ascii="Calibri" w:hAnsi="Calibri"/>
                <w:color w:val="333333"/>
                <w:sz w:val="19"/>
              </w:rPr>
              <w:t>230 - 260 ms</w:t>
            </w:r>
          </w:p>
        </w:tc>
        <w:tc>
          <w:tcPr>
            <w:tcW w:type="dxa" w:w="3120"/>
            <w:shd w:fill="FFFFFF"/>
            <w:tcMar>
              <w:top w:w="100" w:type="dxa"/>
              <w:bottom w:w="100" w:type="dxa"/>
              <w:left w:w="150" w:type="dxa"/>
              <w:right w:w="150" w:type="dxa"/>
            </w:tcMar>
          </w:tcPr>
          <w:p>
            <w:r>
              <w:rPr>
                <w:rFonts w:ascii="Calibri" w:hAnsi="Calibri"/>
                <w:color w:val="333333"/>
                <w:sz w:val="19"/>
              </w:rPr>
              <w:t>High (Intense math calculations, optimized model)</w:t>
            </w:r>
          </w:p>
        </w:tc>
      </w:tr>
      <w:tr>
        <w:tc>
          <w:tcPr>
            <w:tcW w:type="dxa" w:w="3120"/>
            <w:shd w:fill="F2F6FA"/>
            <w:tcMar>
              <w:top w:w="100" w:type="dxa"/>
              <w:bottom w:w="100" w:type="dxa"/>
              <w:left w:w="150" w:type="dxa"/>
              <w:right w:w="150" w:type="dxa"/>
            </w:tcMar>
          </w:tcPr>
          <w:p>
            <w:r>
              <w:rPr>
                <w:rFonts w:ascii="Calibri" w:hAnsi="Calibri"/>
                <w:color w:val="333333"/>
                <w:sz w:val="19"/>
              </w:rPr>
              <w:t>Cosine Similarity Matrix Matching</w:t>
            </w:r>
          </w:p>
        </w:tc>
        <w:tc>
          <w:tcPr>
            <w:tcW w:type="dxa" w:w="3120"/>
            <w:shd w:fill="F2F6FA"/>
            <w:tcMar>
              <w:top w:w="100" w:type="dxa"/>
              <w:bottom w:w="100" w:type="dxa"/>
              <w:left w:w="150" w:type="dxa"/>
              <w:right w:w="150" w:type="dxa"/>
            </w:tcMar>
          </w:tcPr>
          <w:p>
            <w:r>
              <w:rPr>
                <w:rFonts w:ascii="Calibri" w:hAnsi="Calibri"/>
                <w:color w:val="333333"/>
                <w:sz w:val="19"/>
              </w:rPr>
              <w:t>&lt; 1 ms</w:t>
            </w:r>
          </w:p>
        </w:tc>
        <w:tc>
          <w:tcPr>
            <w:tcW w:type="dxa" w:w="3120"/>
            <w:shd w:fill="F2F6FA"/>
            <w:tcMar>
              <w:top w:w="100" w:type="dxa"/>
              <w:bottom w:w="100" w:type="dxa"/>
              <w:left w:w="150" w:type="dxa"/>
              <w:right w:w="150" w:type="dxa"/>
            </w:tcMar>
          </w:tcPr>
          <w:p>
            <w:r>
              <w:rPr>
                <w:rFonts w:ascii="Calibri" w:hAnsi="Calibri"/>
                <w:color w:val="333333"/>
                <w:sz w:val="19"/>
              </w:rPr>
              <w:t>Negligible (Vectorized math, on-device CPU)</w:t>
            </w:r>
          </w:p>
        </w:tc>
      </w:tr>
      <w:tr>
        <w:tc>
          <w:tcPr>
            <w:tcW w:type="dxa" w:w="3120"/>
            <w:shd w:fill="FFFFFF"/>
            <w:tcMar>
              <w:top w:w="100" w:type="dxa"/>
              <w:bottom w:w="100" w:type="dxa"/>
              <w:left w:w="150" w:type="dxa"/>
              <w:right w:w="150" w:type="dxa"/>
            </w:tcMar>
          </w:tcPr>
          <w:p>
            <w:r>
              <w:rPr>
                <w:rFonts w:ascii="Calibri" w:hAnsi="Calibri"/>
                <w:color w:val="333333"/>
                <w:sz w:val="19"/>
              </w:rPr>
              <w:t>Liveness State Machine Frame Processing</w:t>
            </w:r>
          </w:p>
        </w:tc>
        <w:tc>
          <w:tcPr>
            <w:tcW w:type="dxa" w:w="3120"/>
            <w:shd w:fill="FFFFFF"/>
            <w:tcMar>
              <w:top w:w="100" w:type="dxa"/>
              <w:bottom w:w="100" w:type="dxa"/>
              <w:left w:w="150" w:type="dxa"/>
              <w:right w:w="150" w:type="dxa"/>
            </w:tcMar>
          </w:tcPr>
          <w:p>
            <w:r>
              <w:rPr>
                <w:rFonts w:ascii="Calibri" w:hAnsi="Calibri"/>
                <w:color w:val="333333"/>
                <w:sz w:val="19"/>
              </w:rPr>
              <w:t>30 - 33 ms</w:t>
            </w:r>
          </w:p>
        </w:tc>
        <w:tc>
          <w:tcPr>
            <w:tcW w:type="dxa" w:w="3120"/>
            <w:shd w:fill="FFFFFF"/>
            <w:tcMar>
              <w:top w:w="100" w:type="dxa"/>
              <w:bottom w:w="100" w:type="dxa"/>
              <w:left w:w="150" w:type="dxa"/>
              <w:right w:w="150" w:type="dxa"/>
            </w:tcMar>
          </w:tcPr>
          <w:p>
            <w:r>
              <w:rPr>
                <w:rFonts w:ascii="Calibri" w:hAnsi="Calibri"/>
                <w:color w:val="333333"/>
                <w:sz w:val="19"/>
              </w:rPr>
              <w:t>Real-time tracking (processed at 30 fps)</w:t>
            </w:r>
          </w:p>
        </w:tc>
      </w:tr>
      <w:tr>
        <w:tc>
          <w:tcPr>
            <w:tcW w:type="dxa" w:w="3120"/>
            <w:shd w:fill="F2F6FA"/>
            <w:tcMar>
              <w:top w:w="100" w:type="dxa"/>
              <w:bottom w:w="100" w:type="dxa"/>
              <w:left w:w="150" w:type="dxa"/>
              <w:right w:w="150" w:type="dxa"/>
            </w:tcMar>
          </w:tcPr>
          <w:p>
            <w:r>
              <w:rPr>
                <w:rFonts w:ascii="Calibri" w:hAnsi="Calibri"/>
                <w:color w:val="333333"/>
                <w:sz w:val="19"/>
              </w:rPr>
              <w:t>Total Login-to-Verification Pipeline Flow</w:t>
            </w:r>
          </w:p>
        </w:tc>
        <w:tc>
          <w:tcPr>
            <w:tcW w:type="dxa" w:w="3120"/>
            <w:shd w:fill="F2F6FA"/>
            <w:tcMar>
              <w:top w:w="100" w:type="dxa"/>
              <w:bottom w:w="100" w:type="dxa"/>
              <w:left w:w="150" w:type="dxa"/>
              <w:right w:w="150" w:type="dxa"/>
            </w:tcMar>
          </w:tcPr>
          <w:p>
            <w:r>
              <w:rPr>
                <w:rFonts w:ascii="Calibri" w:hAnsi="Calibri"/>
                <w:color w:val="333333"/>
                <w:sz w:val="19"/>
              </w:rPr>
              <w:t>1,150 - 1,200 ms</w:t>
            </w:r>
          </w:p>
        </w:tc>
        <w:tc>
          <w:tcPr>
            <w:tcW w:type="dxa" w:w="3120"/>
            <w:shd w:fill="F2F6FA"/>
            <w:tcMar>
              <w:top w:w="100" w:type="dxa"/>
              <w:bottom w:w="100" w:type="dxa"/>
              <w:left w:w="150" w:type="dxa"/>
              <w:right w:w="150" w:type="dxa"/>
            </w:tcMar>
          </w:tcPr>
          <w:p>
            <w:r>
              <w:rPr>
                <w:rFonts w:ascii="Calibri" w:hAnsi="Calibri"/>
                <w:color w:val="333333"/>
                <w:sz w:val="19"/>
              </w:rPr>
              <w:t>Optimal (Fluid user experience, under 1.2 seconds)</w:t>
            </w:r>
          </w:p>
        </w:tc>
      </w:tr>
    </w:tbl>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 xml:space="preserve">Confidential - National Highways Authority of India (NHAI)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66666"/>
        <w:sz w:val="17"/>
      </w:rPr>
      <w:t>NHAI Biometric Attendance - Technical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