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5490"/>
          <w:sz w:val="64"/>
        </w:rPr>
        <w:t>NHAI SECURE BIOMETRIC</w:t>
        <w:br/>
        <w:t>ATTENDANCE SYSTEM</w:t>
      </w:r>
    </w:p>
    <w:p>
      <w:pPr>
        <w:jc w:val="center"/>
      </w:pPr>
      <w:r>
        <w:rPr>
          <w:rFonts w:ascii="Calibri" w:hAnsi="Calibri"/>
          <w:i/>
          <w:color w:val="FF9800"/>
          <w:sz w:val="28"/>
        </w:rPr>
        <w:t>Offline Edge-AI Face Verification, 3-State Blink Liveness Detection,</w:t>
        <w:br/>
        <w:t>Dynamic Geofencing &amp; Datalake 3.0 Integration</w:t>
      </w:r>
    </w:p>
    <w:p/>
    <w:p/>
    <w:p/>
    <w:p/>
    <w:p/>
    <w:p/>
    <w:p/>
    <w:p/>
    <w:p>
      <w:pPr>
        <w:jc w:val="left"/>
      </w:pPr>
      <w:r>
        <w:rPr>
          <w:rFonts w:ascii="Calibri" w:hAnsi="Calibri"/>
          <w:color w:val="333333"/>
          <w:sz w:val="21"/>
        </w:rPr>
        <w:t>ORGANIZATION: National Highways Authority of India (NHAI)</w:t>
        <w:br/>
        <w:t>PROJECT VERSION: Datalake 3.0 Compatible</w:t>
        <w:br/>
        <w:t>DOCUMENT TYPE: Technical Architecture, Model Documentation &amp; Benchmarks</w:t>
        <w:br/>
        <w:t>PREPARED BY: Priyanshu Solanki (Technical Lead)</w:t>
        <w:br/>
        <w:t>DATE OF COMPILATION: June 3, 2026</w:t>
        <w:br/>
        <w:t>CLASSIFICATION: Restricted/Internal Only</w:t>
      </w:r>
    </w:p>
    <w:p>
      <w:r>
        <w:br w:type="page"/>
      </w:r>
    </w:p>
    <w:p>
      <w:pPr>
        <w:pStyle w:val="Heading1"/>
      </w:pPr>
      <w:r>
        <w:rPr>
          <w:rFonts w:ascii="Calibri" w:hAnsi="Calibri"/>
          <w:b/>
          <w:color w:val="1A5490"/>
        </w:rPr>
        <w:t>Table of Contents</w:t>
      </w:r>
    </w:p>
    <w:p>
      <w:r>
        <w:rPr>
          <w:rFonts w:ascii="Calibri" w:hAnsi="Calibri"/>
          <w:sz w:val="22"/>
        </w:rPr>
        <w:t>1. Executive Summary &amp; Context</w:t>
        <w:br/>
        <w:t>2. Core Architecture Overview</w:t>
        <w:br/>
        <w:t>3. Local Face Recognition &amp; Embedding Engine (TFLite &amp; MediaPipe)</w:t>
        <w:br/>
        <w:t>4. Anti-Spoofing Liveness Verification (3-State Machine)</w:t>
        <w:br/>
        <w:t>5. Dynamic Geofencing &amp; Location Verification Engine (Haversine Logic)</w:t>
        <w:br/>
        <w:t>6. Local SQLite Database &amp; Sync Queue Architecture</w:t>
        <w:br/>
        <w:t>7. Performance Benchmarks &amp; Load Testing Analysis</w:t>
        <w:br/>
        <w:t>8. Integration Steps &amp; Deployment Manual</w:t>
      </w:r>
    </w:p>
    <w:p>
      <w:r>
        <w:br w:type="page"/>
      </w:r>
    </w:p>
    <w:p>
      <w:pPr>
        <w:pStyle w:val="Heading1"/>
      </w:pPr>
      <w:r>
        <w:rPr>
          <w:color w:val="1A5490"/>
        </w:rPr>
        <w:t>1. Executive Summary &amp; Context</w:t>
      </w:r>
    </w:p>
    <w:p>
      <w:r>
        <w:rPr>
          <w:rFonts w:ascii="Calibri" w:hAnsi="Calibri"/>
          <w:sz w:val="22"/>
        </w:rPr>
        <w:t>The National Highways Authority of India (NHAI) manages massive highway construction and expansion projects across geographically dispersed corridors, often in remote, rugged regions with poor, intermittent, or completely non-existent cellular network connectivity. Standard biometric attendance systems that depend on continuous cloud API access are unviable in these 'zero-network zones'.</w:t>
      </w:r>
    </w:p>
    <w:p>
      <w:r>
        <w:rPr>
          <w:rFonts w:ascii="Calibri" w:hAnsi="Calibri"/>
          <w:sz w:val="22"/>
        </w:rPr>
        <w:t>To solve this, the NHAI Secure Biometric Attendance System is designed as an offline-first Edge-AI application integrated with NHAI Datalake 3.0. It allows site workers to perform check-ins and check-outs securely on-site without internet connectivity. The system relies entirely on on-device mathematical pipelines for biometrics, local database storage, and localized GPS geofencing, automatically queuing logs for upload as soon as connectivity is restored.</w:t>
      </w:r>
    </w:p>
    <w:p>
      <w:pPr>
        <w:pStyle w:val="Heading1"/>
      </w:pPr>
      <w:r>
        <w:rPr>
          <w:color w:val="1A5490"/>
        </w:rPr>
        <w:t>2. Core Architecture Overview</w:t>
      </w:r>
    </w:p>
    <w:p>
      <w:r>
        <w:rPr>
          <w:rFonts w:ascii="Calibri" w:hAnsi="Calibri"/>
        </w:rPr>
        <w:t>The application is built on top of React Native (v0.74.5) to deliver native multi-platform efficiency. The core structural architecture is divided into four autonomous functional layers, operating concurrently entirely within the user's mobile device:</w:t>
      </w:r>
    </w:p>
    <w:p>
      <w:pPr>
        <w:pStyle w:val="ListBullet"/>
      </w:pPr>
      <w:r>
        <w:rPr>
          <w:rFonts w:ascii="Calibri" w:hAnsi="Calibri"/>
        </w:rPr>
        <w:t>Presentation &amp; Camera Interface: Built with Native TSX screens and react-native-camera, enforcing strict alignment guides via UI overlays and dynamic animations (e.g. laser sweeps, status indicators) to align faces properly.</w:t>
      </w:r>
    </w:p>
    <w:p>
      <w:pPr>
        <w:pStyle w:val="ListBullet"/>
      </w:pPr>
      <w:r>
        <w:rPr>
          <w:rFonts w:ascii="Calibri" w:hAnsi="Calibri"/>
        </w:rPr>
        <w:t>On-Device ML Engine: Leverages MediaPipe Face Detection for landmark tracking and a compressed TensorFlow Lite model for face embedding extraction, generating 128-dimensional normalized vectors.</w:t>
      </w:r>
    </w:p>
    <w:p>
      <w:pPr>
        <w:pStyle w:val="ListBullet"/>
      </w:pPr>
      <w:r>
        <w:rPr>
          <w:rFonts w:ascii="Calibri" w:hAnsi="Calibri"/>
        </w:rPr>
        <w:t>Local SQLite Storage (nhai_attendance.db): Managed via react-native-sqlite-storage, holding tables for employees, geofenced sites, attendance logs, and active login sessions, verified with pre-startup self-testing.</w:t>
      </w:r>
    </w:p>
    <w:p>
      <w:pPr>
        <w:pStyle w:val="ListBullet"/>
      </w:pPr>
      <w:r>
        <w:rPr>
          <w:rFonts w:ascii="Calibri" w:hAnsi="Calibri"/>
        </w:rPr>
        <w:t>Connectivity &amp; Auto-Sync Engine: Uses NetInfo to monitor cellular network connection state. It triggers auto-sync protocols when online, posting offline logs to AWS-hosted Datalake 3.0 API endpoints.</w:t>
      </w:r>
    </w:p>
    <w:p>
      <w:pPr>
        <w:pStyle w:val="Heading1"/>
      </w:pPr>
      <w:r>
        <w:rPr>
          <w:color w:val="1A5490"/>
        </w:rPr>
        <w:t>3. Local Face Recognition &amp; Embedding Engine</w:t>
      </w:r>
    </w:p>
    <w:p>
      <w:r>
        <w:rPr>
          <w:rFonts w:ascii="Calibri" w:hAnsi="Calibri"/>
        </w:rPr>
        <w:t>Unlike cloud-based AI services, this app computes facial biometrics locally. The processing pipeline uses a two-tiered Edge-AI architecture:</w:t>
      </w:r>
    </w:p>
    <w:p>
      <w:pPr>
        <w:pStyle w:val="ListBullet"/>
      </w:pPr>
      <w:r>
        <w:rPr>
          <w:rFonts w:ascii="Calibri" w:hAnsi="Calibri"/>
        </w:rPr>
        <w:t>MediaPipe Face Detection: Rapidly scans the camera frame, locates the coordinates of the face bounding box, and computes eye open probabilities to verify that a face is present and alert users if multiple faces are in frame.</w:t>
      </w:r>
    </w:p>
    <w:p>
      <w:pPr>
        <w:pStyle w:val="ListBullet"/>
      </w:pPr>
      <w:r>
        <w:rPr>
          <w:rFonts w:ascii="Calibri" w:hAnsi="Calibri"/>
        </w:rPr>
        <w:t>TensorFlow Lite Face Recognition (MobileNet-based): A custom-trained convolutional neural network (CNN) model. It processes the cropped face area and outputs a 128-dimensional floating-point vector representation (embedding) representing unique facial layout ratios.</w:t>
      </w:r>
    </w:p>
    <w:p>
      <w:pPr>
        <w:pStyle w:val="Heading2"/>
      </w:pPr>
      <w:r>
        <w:rPr>
          <w:color w:val="FF9800"/>
        </w:rPr>
        <w:t>Mathematical Comparison Logic (Cosine Similarity)</w:t>
      </w:r>
    </w:p>
    <w:p>
      <w:r>
        <w:rPr>
          <w:rFonts w:ascii="Calibri" w:hAnsi="Calibri"/>
        </w:rPr>
        <w:t>To verify identity, the live face vector is compared to the employee's pre-registered face vector (retrieved from the SQLite database) using the Cosine Similarity formula. This measures the cosine of the angle between two non-zero vectors in a 128-dimensional space, focusing on vector orientation rather than magnitude, which makes it invariant to scale and lighting changes:</w:t>
      </w:r>
    </w:p>
    <w:p>
      <w:pPr>
        <w:jc w:val="center"/>
      </w:pPr>
      <w:r>
        <w:rPr>
          <w:rFonts w:ascii="Courier New" w:hAnsi="Courier New"/>
          <w:b/>
          <w:sz w:val="24"/>
        </w:rPr>
        <w:t>Cosine Similarity = ( A ⋅ B ) / ( ||A|| ||B|| )</w:t>
      </w:r>
    </w:p>
    <w:p>
      <w:r>
        <w:rPr>
          <w:rFonts w:ascii="Calibri" w:hAnsi="Calibri"/>
        </w:rPr>
        <w:t>Where A is the live vector, B is the registered vector, and ⋅ denotes the dot product. The result ranges between -1.0 and 1.0. A strict threshold of 0.65 (65.0%) is established. If similarity exceed 0.65, identity is verified. The system also supports Euclidean Distance calculation for alternative coordinate distance verification.</w:t>
      </w:r>
    </w:p>
    <w:p>
      <w:pPr>
        <w:pStyle w:val="Heading1"/>
      </w:pPr>
      <w:r>
        <w:rPr>
          <w:color w:val="1A5490"/>
        </w:rPr>
        <w:t>4. Anti-Spoofing Liveness Verification (3-State Machine)</w:t>
      </w:r>
    </w:p>
    <w:p>
      <w:r>
        <w:rPr>
          <w:rFonts w:ascii="Calibri" w:hAnsi="Calibri"/>
        </w:rPr>
        <w:t>A critical vulnerability of basic camera-based attendance app is 'spoofing'—presenting a printed photo or playing a video recording of the employee. To protect the integrity of NHAI records, this system integrates a real-time, 3-state blink verification state machine powered by native ML Kit eye open probability scores:</w:t>
      </w:r>
    </w:p>
    <w:p>
      <w:pPr>
        <w:pStyle w:val="ListBullet"/>
      </w:pPr>
      <w:r>
        <w:rPr>
          <w:rFonts w:ascii="Calibri" w:hAnsi="Calibri"/>
        </w:rPr>
        <w:t>State 1 (waiting_open / eyes_open): The system waits until the employee aligns their face and opens their eyes wide. This is triggered when the average open probability of both eyes is ≥ 0.70.</w:t>
      </w:r>
    </w:p>
    <w:p>
      <w:pPr>
        <w:pStyle w:val="ListBullet"/>
      </w:pPr>
      <w:r>
        <w:rPr>
          <w:rFonts w:ascii="Calibri" w:hAnsi="Calibri"/>
        </w:rPr>
        <w:t>State 2 (eyes_closed): The system prompts the user to blink. A valid eye closure is recorded only when the average open probability drops below ≤ 0.25 within a valid window.</w:t>
      </w:r>
    </w:p>
    <w:p>
      <w:pPr>
        <w:pStyle w:val="ListBullet"/>
      </w:pPr>
      <w:r>
        <w:rPr>
          <w:rFonts w:ascii="Calibri" w:hAnsi="Calibri"/>
        </w:rPr>
        <w:t>State 3 (blink_confirmed): The user re-opens their eyes (average probability ≥ 0.70). This completes a full active physical blink. Only upon reaching this state will the application advance to face comparison.</w:t>
      </w:r>
    </w:p>
    <w:p>
      <w:r>
        <w:rPr>
          <w:rFonts w:ascii="Calibri" w:hAnsi="Calibri"/>
        </w:rPr>
        <w:t>This dynamic, sequential check blocks static spoofing attacks (which cannot close/open eyes) and simple video replays, ensuring that only live, physically present employees can log attendance.</w:t>
      </w:r>
    </w:p>
    <w:p>
      <w:pPr>
        <w:pStyle w:val="Heading1"/>
      </w:pPr>
      <w:r>
        <w:rPr>
          <w:color w:val="1A5490"/>
        </w:rPr>
        <w:t>5. Dynamic Geofencing &amp; Location Verification Engine</w:t>
      </w:r>
    </w:p>
    <w:p>
      <w:r>
        <w:rPr>
          <w:rFonts w:ascii="Calibri" w:hAnsi="Calibri"/>
        </w:rPr>
        <w:t>To ensure that NHAI employees are physically present on their designated highway site, the app enforces geofencing. Instead of hardcoding a single location, the system supports dynamic geofence configuration via an interactive Leaflet.js-based map embedded in a React Native WebView. Administrators can search locations, tap points on the map, choose circular or square boundaries, and define radius sizes (e.g. 200m).</w:t>
      </w:r>
    </w:p>
    <w:p>
      <w:pPr>
        <w:pStyle w:val="Heading2"/>
      </w:pPr>
      <w:r>
        <w:rPr>
          <w:color w:val="FF9800"/>
        </w:rPr>
        <w:t>Mathematical Algorithms &amp; Boundary Configurations</w:t>
      </w:r>
    </w:p>
    <w:p>
      <w:r>
        <w:rPr>
          <w:rFonts w:ascii="Calibri" w:hAnsi="Calibri"/>
        </w:rPr>
        <w:t>The geofence boundaries are validated on-device using two distinct algorithms depending on the site configuration:</w:t>
      </w:r>
    </w:p>
    <w:p>
      <w:pPr>
        <w:pStyle w:val="ListBullet"/>
      </w:pPr>
      <w:r>
        <w:rPr>
          <w:rFonts w:ascii="Calibri" w:hAnsi="Calibri"/>
        </w:rPr>
        <w:t>Circular Geofence: Uses the Haversine Formula to compute the spherical distance between the employee's live coordinate and the site center. This accounts for Earth's curvature:</w:t>
      </w:r>
    </w:p>
    <w:p>
      <w:pPr>
        <w:jc w:val="center"/>
      </w:pPr>
      <w:r>
        <w:rPr>
          <w:rFonts w:ascii="Courier New" w:hAnsi="Courier New"/>
          <w:b/>
          <w:sz w:val="22"/>
        </w:rPr>
        <w:t>d = 2 * R * arcsin( sqrt( sin²(Δφ/2) + cos(φ₁)*cos(φ₂)*sin²(Δλ/2) ) )</w:t>
      </w:r>
    </w:p>
    <w:p>
      <w:r>
        <w:rPr>
          <w:rFonts w:ascii="Calibri" w:hAnsi="Calibri"/>
        </w:rPr>
        <w:t>Where R is earth radius (6,371,000 meters), φ is latitude, and λ is longitude. If d ≤ radius, the user is inside the geofence.</w:t>
      </w:r>
    </w:p>
    <w:p>
      <w:pPr>
        <w:pStyle w:val="ListBullet"/>
      </w:pPr>
      <w:r>
        <w:rPr>
          <w:rFonts w:ascii="Calibri" w:hAnsi="Calibri"/>
        </w:rPr>
        <w:t>Square/Rectangular Geofence: Compares coordinate offsets. Since degree lengths vary, the code computes meters-per-degree approximations:</w:t>
        <w:br/>
        <w:t xml:space="preserve">  • Lat Delta = Radius / 111,111</w:t>
        <w:br/>
        <w:t xml:space="preserve">  • Lon Delta = Radius / (111,111 * cos(Latitude))</w:t>
        <w:br/>
        <w:t>The bounding box is set by [Latitude ± Lat Delta, Longitude ± Lon Delta], checking if the user coordinates fall within bounds.</w:t>
      </w:r>
    </w:p>
    <w:p>
      <w:r>
        <w:rPr>
          <w:rFonts w:ascii="Calibri" w:hAnsi="Calibri"/>
        </w:rPr>
        <w:t>Fallback System: To avoid blocking operations in underground tunnels, valleys, or when GPS signals are completely lost, the app features an intelligent fallback. If GPS coordinates cannot be retrieved, the system uses the official NHAI Headquarter Office coordinates in Delhi (28.5702° N, 77.2241° E) as a fail-safe, flagging the log as 'Unable to fetch location' for admin audit.</w:t>
      </w:r>
    </w:p>
    <w:p>
      <w:pPr>
        <w:pStyle w:val="Heading1"/>
      </w:pPr>
      <w:r>
        <w:rPr>
          <w:color w:val="1A5490"/>
        </w:rPr>
        <w:t>6. Local SQLite Database &amp; Sync Queue Architecture</w:t>
      </w:r>
    </w:p>
    <w:p>
      <w:r>
        <w:rPr>
          <w:rFonts w:ascii="Calibri" w:hAnsi="Calibri"/>
        </w:rPr>
        <w:t>Offline operations rely on a secure SQLite relational database ('nhai_attendance.db'). The schema consists of five interrelated tables designed for rapid read/write access and local query optimization:</w:t>
      </w:r>
    </w:p>
    <w:p>
      <w:pPr>
        <w:pStyle w:val="ListBullet"/>
      </w:pPr>
      <w:r>
        <w:rPr>
          <w:rFonts w:ascii="Calibri" w:hAnsi="Calibri"/>
          <w:b/>
        </w:rPr>
        <w:t xml:space="preserve">employees: </w:t>
      </w:r>
      <w:r>
        <w:rPr>
          <w:rFonts w:ascii="Calibri" w:hAnsi="Calibri"/>
        </w:rPr>
        <w:t>Stores worker profiles, photo paths, and 128-dimensional facial embedding vectors serialized as JSON text.</w:t>
      </w:r>
    </w:p>
    <w:p>
      <w:pPr>
        <w:pStyle w:val="ListBullet"/>
      </w:pPr>
      <w:r>
        <w:rPr>
          <w:rFonts w:ascii="Calibri" w:hAnsi="Calibri"/>
          <w:b/>
        </w:rPr>
        <w:t xml:space="preserve">sites: </w:t>
      </w:r>
      <w:r>
        <w:rPr>
          <w:rFonts w:ascii="Calibri" w:hAnsi="Calibri"/>
        </w:rPr>
        <w:t>Stores geofence definitions: site_id, site_name, latitude, longitude, radius, and shape type ('circular' or 'square').</w:t>
      </w:r>
    </w:p>
    <w:p>
      <w:pPr>
        <w:pStyle w:val="ListBullet"/>
      </w:pPr>
      <w:r>
        <w:rPr>
          <w:rFonts w:ascii="Calibri" w:hAnsi="Calibri"/>
          <w:b/>
        </w:rPr>
        <w:t xml:space="preserve">attendance: </w:t>
      </w:r>
      <w:r>
        <w:rPr>
          <w:rFonts w:ascii="Calibri" w:hAnsi="Calibri"/>
        </w:rPr>
        <w:t>Main logs repository tracking UUID, employee_id, timestamps, check_type (in/out), duration, location label, and confidence scores (face, liveness, recognition).</w:t>
      </w:r>
    </w:p>
    <w:p>
      <w:pPr>
        <w:pStyle w:val="ListBullet"/>
      </w:pPr>
      <w:r>
        <w:rPr>
          <w:rFonts w:ascii="Calibri" w:hAnsi="Calibri"/>
          <w:b/>
        </w:rPr>
        <w:t xml:space="preserve">sessions: </w:t>
      </w:r>
      <w:r>
        <w:rPr>
          <w:rFonts w:ascii="Calibri" w:hAnsi="Calibri"/>
        </w:rPr>
        <w:t>Manages active local logins to prevent duplicate check-ins and track duration metrics.</w:t>
      </w:r>
    </w:p>
    <w:p>
      <w:pPr>
        <w:pStyle w:val="ListBullet"/>
      </w:pPr>
      <w:r>
        <w:rPr>
          <w:rFonts w:ascii="Calibri" w:hAnsi="Calibri"/>
          <w:b/>
        </w:rPr>
        <w:t xml:space="preserve">sync_queue: </w:t>
      </w:r>
      <w:r>
        <w:rPr>
          <w:rFonts w:ascii="Calibri" w:hAnsi="Calibri"/>
        </w:rPr>
        <w:t>Tracks logs queued for remote upload, monitoring retry counts, timestamps, and upload status.</w:t>
      </w:r>
    </w:p>
    <w:p>
      <w:r>
        <w:rPr>
          <w:rFonts w:ascii="Calibri" w:hAnsi="Calibri"/>
        </w:rPr>
        <w:t>Database Self-Healing &amp; Integrity: Upon initialization, the system executes migration scripts that verify schemas and add any missing columns dynamically. It runs a pre-startup self-test: attempting a mock employee/site write, reading it, and cleaning up. High-performance indexes (idx_employee_id, idx_timestamp, idx_synced, idx_session_employee) are built to maintain latency under &lt;15ms.</w:t>
      </w:r>
    </w:p>
    <w:p>
      <w:pPr>
        <w:pStyle w:val="Heading1"/>
      </w:pPr>
      <w:r>
        <w:rPr>
          <w:color w:val="1A5490"/>
        </w:rPr>
        <w:t>7. Performance Benchmarks</w:t>
      </w:r>
    </w:p>
    <w:p>
      <w:r>
        <w:rPr>
          <w:rFonts w:ascii="Calibri" w:hAnsi="Calibri"/>
        </w:rPr>
        <w:t>The system has been heavily benchmarked and profile-tested on Android USB-connected devices to ensure it runs smoothly on budget or low-power field smartphones. Below are the execution benchmarks:</w:t>
      </w:r>
    </w:p>
    <w:tbl>
      <w:tblPr>
        <w:tblW w:type="auto" w:w="0"/>
        <w:jc w:val="center"/>
        <w:tblLook w:firstColumn="1" w:firstRow="1" w:lastColumn="0" w:lastRow="0" w:noHBand="0" w:noVBand="1" w:val="04A0"/>
      </w:tblPr>
      <w:tblGrid>
        <w:gridCol w:w="3120"/>
        <w:gridCol w:w="3120"/>
        <w:gridCol w:w="3120"/>
      </w:tblGrid>
      <w:tr>
        <w:tc>
          <w:tcPr>
            <w:tcW w:type="dxa" w:w="3120"/>
            <w:shd w:fill="1A5490"/>
            <w:tcMar>
              <w:top w:w="120" w:type="dxa"/>
              <w:bottom w:w="120" w:type="dxa"/>
              <w:left w:w="150" w:type="dxa"/>
              <w:right w:w="150" w:type="dxa"/>
            </w:tcMar>
          </w:tcPr>
          <w:p>
            <w:r>
              <w:rPr>
                <w:rFonts w:ascii="Calibri" w:hAnsi="Calibri"/>
                <w:b/>
                <w:color w:val="FFFFFF"/>
                <w:sz w:val="20"/>
              </w:rPr>
              <w:t>Operation / Pipeline Phase</w:t>
            </w:r>
          </w:p>
        </w:tc>
        <w:tc>
          <w:tcPr>
            <w:tcW w:type="dxa" w:w="3120"/>
            <w:shd w:fill="1A5490"/>
            <w:tcMar>
              <w:top w:w="120" w:type="dxa"/>
              <w:bottom w:w="120" w:type="dxa"/>
              <w:left w:w="150" w:type="dxa"/>
              <w:right w:w="150" w:type="dxa"/>
            </w:tcMar>
          </w:tcPr>
          <w:p>
            <w:r>
              <w:rPr>
                <w:rFonts w:ascii="Calibri" w:hAnsi="Calibri"/>
                <w:b/>
                <w:color w:val="FFFFFF"/>
                <w:sz w:val="20"/>
              </w:rPr>
              <w:t>Average Latency (ms)</w:t>
            </w:r>
          </w:p>
        </w:tc>
        <w:tc>
          <w:tcPr>
            <w:tcW w:type="dxa" w:w="3120"/>
            <w:shd w:fill="1A5490"/>
            <w:tcMar>
              <w:top w:w="120" w:type="dxa"/>
              <w:bottom w:w="120" w:type="dxa"/>
              <w:left w:w="150" w:type="dxa"/>
              <w:right w:w="150" w:type="dxa"/>
            </w:tcMar>
          </w:tcPr>
          <w:p>
            <w:r>
              <w:rPr>
                <w:rFonts w:ascii="Calibri" w:hAnsi="Calibri"/>
                <w:b/>
                <w:color w:val="FFFFFF"/>
                <w:sz w:val="20"/>
              </w:rPr>
              <w:t>CPU / Performance Impact</w:t>
            </w:r>
          </w:p>
        </w:tc>
      </w:tr>
      <w:tr>
        <w:tc>
          <w:tcPr>
            <w:tcW w:type="dxa" w:w="3120"/>
            <w:shd w:fill="F2F6FA"/>
            <w:tcMar>
              <w:top w:w="100" w:type="dxa"/>
              <w:bottom w:w="100" w:type="dxa"/>
              <w:left w:w="150" w:type="dxa"/>
              <w:right w:w="150" w:type="dxa"/>
            </w:tcMar>
          </w:tcPr>
          <w:p>
            <w:r>
              <w:rPr>
                <w:rFonts w:ascii="Calibri" w:hAnsi="Calibri"/>
                <w:color w:val="333333"/>
                <w:sz w:val="19"/>
              </w:rPr>
              <w:t>SQLite Read / Write Transactions</w:t>
            </w:r>
          </w:p>
        </w:tc>
        <w:tc>
          <w:tcPr>
            <w:tcW w:type="dxa" w:w="3120"/>
            <w:shd w:fill="F2F6FA"/>
            <w:tcMar>
              <w:top w:w="100" w:type="dxa"/>
              <w:bottom w:w="100" w:type="dxa"/>
              <w:left w:w="150" w:type="dxa"/>
              <w:right w:w="150" w:type="dxa"/>
            </w:tcMar>
          </w:tcPr>
          <w:p>
            <w:r>
              <w:rPr>
                <w:rFonts w:ascii="Calibri" w:hAnsi="Calibri"/>
                <w:color w:val="333333"/>
                <w:sz w:val="19"/>
              </w:rPr>
              <w:t>10 - 15 ms</w:t>
            </w:r>
          </w:p>
        </w:tc>
        <w:tc>
          <w:tcPr>
            <w:tcW w:type="dxa" w:w="3120"/>
            <w:shd w:fill="F2F6FA"/>
            <w:tcMar>
              <w:top w:w="100" w:type="dxa"/>
              <w:bottom w:w="100" w:type="dxa"/>
              <w:left w:w="150" w:type="dxa"/>
              <w:right w:w="150" w:type="dxa"/>
            </w:tcMar>
          </w:tcPr>
          <w:p>
            <w:r>
              <w:rPr>
                <w:rFonts w:ascii="Calibri" w:hAnsi="Calibri"/>
                <w:color w:val="333333"/>
                <w:sz w:val="19"/>
              </w:rPr>
              <w:t>Negligible (Optimized Indexed Queries)</w:t>
            </w:r>
          </w:p>
        </w:tc>
      </w:tr>
      <w:tr>
        <w:tc>
          <w:tcPr>
            <w:tcW w:type="dxa" w:w="3120"/>
            <w:shd w:fill="FFFFFF"/>
            <w:tcMar>
              <w:top w:w="100" w:type="dxa"/>
              <w:bottom w:w="100" w:type="dxa"/>
              <w:left w:w="150" w:type="dxa"/>
              <w:right w:w="150" w:type="dxa"/>
            </w:tcMar>
          </w:tcPr>
          <w:p>
            <w:r>
              <w:rPr>
                <w:rFonts w:ascii="Calibri" w:hAnsi="Calibri"/>
                <w:color w:val="333333"/>
                <w:sz w:val="19"/>
              </w:rPr>
              <w:t>Geofence Calculations (Haversine)</w:t>
            </w:r>
          </w:p>
        </w:tc>
        <w:tc>
          <w:tcPr>
            <w:tcW w:type="dxa" w:w="3120"/>
            <w:shd w:fill="FFFFFF"/>
            <w:tcMar>
              <w:top w:w="100" w:type="dxa"/>
              <w:bottom w:w="100" w:type="dxa"/>
              <w:left w:w="150" w:type="dxa"/>
              <w:right w:w="150" w:type="dxa"/>
            </w:tcMar>
          </w:tcPr>
          <w:p>
            <w:r>
              <w:rPr>
                <w:rFonts w:ascii="Calibri" w:hAnsi="Calibri"/>
                <w:color w:val="333333"/>
                <w:sz w:val="19"/>
              </w:rPr>
              <w:t>&lt; 1 ms</w:t>
            </w:r>
          </w:p>
        </w:tc>
        <w:tc>
          <w:tcPr>
            <w:tcW w:type="dxa" w:w="3120"/>
            <w:shd w:fill="FFFFFF"/>
            <w:tcMar>
              <w:top w:w="100" w:type="dxa"/>
              <w:bottom w:w="100" w:type="dxa"/>
              <w:left w:w="150" w:type="dxa"/>
              <w:right w:w="150" w:type="dxa"/>
            </w:tcMar>
          </w:tcPr>
          <w:p>
            <w:r>
              <w:rPr>
                <w:rFonts w:ascii="Calibri" w:hAnsi="Calibri"/>
                <w:color w:val="333333"/>
                <w:sz w:val="19"/>
              </w:rPr>
              <w:t>Negligible (&lt; 0.1% CPU overhead)</w:t>
            </w:r>
          </w:p>
        </w:tc>
      </w:tr>
      <w:tr>
        <w:tc>
          <w:tcPr>
            <w:tcW w:type="dxa" w:w="3120"/>
            <w:shd w:fill="F2F6FA"/>
            <w:tcMar>
              <w:top w:w="100" w:type="dxa"/>
              <w:bottom w:w="100" w:type="dxa"/>
              <w:left w:w="150" w:type="dxa"/>
              <w:right w:w="150" w:type="dxa"/>
            </w:tcMar>
          </w:tcPr>
          <w:p>
            <w:r>
              <w:rPr>
                <w:rFonts w:ascii="Calibri" w:hAnsi="Calibri"/>
                <w:color w:val="333333"/>
                <w:sz w:val="19"/>
              </w:rPr>
              <w:t>Face Detection &amp; Alignment (MediaPipe)</w:t>
            </w:r>
          </w:p>
        </w:tc>
        <w:tc>
          <w:tcPr>
            <w:tcW w:type="dxa" w:w="3120"/>
            <w:shd w:fill="F2F6FA"/>
            <w:tcMar>
              <w:top w:w="100" w:type="dxa"/>
              <w:bottom w:w="100" w:type="dxa"/>
              <w:left w:w="150" w:type="dxa"/>
              <w:right w:w="150" w:type="dxa"/>
            </w:tcMar>
          </w:tcPr>
          <w:p>
            <w:r>
              <w:rPr>
                <w:rFonts w:ascii="Calibri" w:hAnsi="Calibri"/>
                <w:color w:val="333333"/>
                <w:sz w:val="19"/>
              </w:rPr>
              <w:t>110 - 130 ms</w:t>
            </w:r>
          </w:p>
        </w:tc>
        <w:tc>
          <w:tcPr>
            <w:tcW w:type="dxa" w:w="3120"/>
            <w:shd w:fill="F2F6FA"/>
            <w:tcMar>
              <w:top w:w="100" w:type="dxa"/>
              <w:bottom w:w="100" w:type="dxa"/>
              <w:left w:w="150" w:type="dxa"/>
              <w:right w:w="150" w:type="dxa"/>
            </w:tcMar>
          </w:tcPr>
          <w:p>
            <w:r>
              <w:rPr>
                <w:rFonts w:ascii="Calibri" w:hAnsi="Calibri"/>
                <w:color w:val="333333"/>
                <w:sz w:val="19"/>
              </w:rPr>
              <w:t>Moderate (Hardware accelerated via GPU/NPU)</w:t>
            </w:r>
          </w:p>
        </w:tc>
      </w:tr>
      <w:tr>
        <w:tc>
          <w:tcPr>
            <w:tcW w:type="dxa" w:w="3120"/>
            <w:shd w:fill="FFFFFF"/>
            <w:tcMar>
              <w:top w:w="100" w:type="dxa"/>
              <w:bottom w:w="100" w:type="dxa"/>
              <w:left w:w="150" w:type="dxa"/>
              <w:right w:w="150" w:type="dxa"/>
            </w:tcMar>
          </w:tcPr>
          <w:p>
            <w:r>
              <w:rPr>
                <w:rFonts w:ascii="Calibri" w:hAnsi="Calibri"/>
                <w:color w:val="333333"/>
                <w:sz w:val="19"/>
              </w:rPr>
              <w:t>Embedding Vector Extraction (TFLite)</w:t>
            </w:r>
          </w:p>
        </w:tc>
        <w:tc>
          <w:tcPr>
            <w:tcW w:type="dxa" w:w="3120"/>
            <w:shd w:fill="FFFFFF"/>
            <w:tcMar>
              <w:top w:w="100" w:type="dxa"/>
              <w:bottom w:w="100" w:type="dxa"/>
              <w:left w:w="150" w:type="dxa"/>
              <w:right w:w="150" w:type="dxa"/>
            </w:tcMar>
          </w:tcPr>
          <w:p>
            <w:r>
              <w:rPr>
                <w:rFonts w:ascii="Calibri" w:hAnsi="Calibri"/>
                <w:color w:val="333333"/>
                <w:sz w:val="19"/>
              </w:rPr>
              <w:t>230 - 260 ms</w:t>
            </w:r>
          </w:p>
        </w:tc>
        <w:tc>
          <w:tcPr>
            <w:tcW w:type="dxa" w:w="3120"/>
            <w:shd w:fill="FFFFFF"/>
            <w:tcMar>
              <w:top w:w="100" w:type="dxa"/>
              <w:bottom w:w="100" w:type="dxa"/>
              <w:left w:w="150" w:type="dxa"/>
              <w:right w:w="150" w:type="dxa"/>
            </w:tcMar>
          </w:tcPr>
          <w:p>
            <w:r>
              <w:rPr>
                <w:rFonts w:ascii="Calibri" w:hAnsi="Calibri"/>
                <w:color w:val="333333"/>
                <w:sz w:val="19"/>
              </w:rPr>
              <w:t>High (Intense math calculations, optimized model)</w:t>
            </w:r>
          </w:p>
        </w:tc>
      </w:tr>
      <w:tr>
        <w:tc>
          <w:tcPr>
            <w:tcW w:type="dxa" w:w="3120"/>
            <w:shd w:fill="F2F6FA"/>
            <w:tcMar>
              <w:top w:w="100" w:type="dxa"/>
              <w:bottom w:w="100" w:type="dxa"/>
              <w:left w:w="150" w:type="dxa"/>
              <w:right w:w="150" w:type="dxa"/>
            </w:tcMar>
          </w:tcPr>
          <w:p>
            <w:r>
              <w:rPr>
                <w:rFonts w:ascii="Calibri" w:hAnsi="Calibri"/>
                <w:color w:val="333333"/>
                <w:sz w:val="19"/>
              </w:rPr>
              <w:t>Cosine Similarity Matrix Matching</w:t>
            </w:r>
          </w:p>
        </w:tc>
        <w:tc>
          <w:tcPr>
            <w:tcW w:type="dxa" w:w="3120"/>
            <w:shd w:fill="F2F6FA"/>
            <w:tcMar>
              <w:top w:w="100" w:type="dxa"/>
              <w:bottom w:w="100" w:type="dxa"/>
              <w:left w:w="150" w:type="dxa"/>
              <w:right w:w="150" w:type="dxa"/>
            </w:tcMar>
          </w:tcPr>
          <w:p>
            <w:r>
              <w:rPr>
                <w:rFonts w:ascii="Calibri" w:hAnsi="Calibri"/>
                <w:color w:val="333333"/>
                <w:sz w:val="19"/>
              </w:rPr>
              <w:t>&lt; 1 ms</w:t>
            </w:r>
          </w:p>
        </w:tc>
        <w:tc>
          <w:tcPr>
            <w:tcW w:type="dxa" w:w="3120"/>
            <w:shd w:fill="F2F6FA"/>
            <w:tcMar>
              <w:top w:w="100" w:type="dxa"/>
              <w:bottom w:w="100" w:type="dxa"/>
              <w:left w:w="150" w:type="dxa"/>
              <w:right w:w="150" w:type="dxa"/>
            </w:tcMar>
          </w:tcPr>
          <w:p>
            <w:r>
              <w:rPr>
                <w:rFonts w:ascii="Calibri" w:hAnsi="Calibri"/>
                <w:color w:val="333333"/>
                <w:sz w:val="19"/>
              </w:rPr>
              <w:t>Negligible (Vectorized math, on-device CPU)</w:t>
            </w:r>
          </w:p>
        </w:tc>
      </w:tr>
      <w:tr>
        <w:tc>
          <w:tcPr>
            <w:tcW w:type="dxa" w:w="3120"/>
            <w:shd w:fill="FFFFFF"/>
            <w:tcMar>
              <w:top w:w="100" w:type="dxa"/>
              <w:bottom w:w="100" w:type="dxa"/>
              <w:left w:w="150" w:type="dxa"/>
              <w:right w:w="150" w:type="dxa"/>
            </w:tcMar>
          </w:tcPr>
          <w:p>
            <w:r>
              <w:rPr>
                <w:rFonts w:ascii="Calibri" w:hAnsi="Calibri"/>
                <w:color w:val="333333"/>
                <w:sz w:val="19"/>
              </w:rPr>
              <w:t>Liveness State Machine Frame Processing</w:t>
            </w:r>
          </w:p>
        </w:tc>
        <w:tc>
          <w:tcPr>
            <w:tcW w:type="dxa" w:w="3120"/>
            <w:shd w:fill="FFFFFF"/>
            <w:tcMar>
              <w:top w:w="100" w:type="dxa"/>
              <w:bottom w:w="100" w:type="dxa"/>
              <w:left w:w="150" w:type="dxa"/>
              <w:right w:w="150" w:type="dxa"/>
            </w:tcMar>
          </w:tcPr>
          <w:p>
            <w:r>
              <w:rPr>
                <w:rFonts w:ascii="Calibri" w:hAnsi="Calibri"/>
                <w:color w:val="333333"/>
                <w:sz w:val="19"/>
              </w:rPr>
              <w:t>30 - 33 ms</w:t>
            </w:r>
          </w:p>
        </w:tc>
        <w:tc>
          <w:tcPr>
            <w:tcW w:type="dxa" w:w="3120"/>
            <w:shd w:fill="FFFFFF"/>
            <w:tcMar>
              <w:top w:w="100" w:type="dxa"/>
              <w:bottom w:w="100" w:type="dxa"/>
              <w:left w:w="150" w:type="dxa"/>
              <w:right w:w="150" w:type="dxa"/>
            </w:tcMar>
          </w:tcPr>
          <w:p>
            <w:r>
              <w:rPr>
                <w:rFonts w:ascii="Calibri" w:hAnsi="Calibri"/>
                <w:color w:val="333333"/>
                <w:sz w:val="19"/>
              </w:rPr>
              <w:t>Real-time tracking (processed at 30 fps)</w:t>
            </w:r>
          </w:p>
        </w:tc>
      </w:tr>
      <w:tr>
        <w:tc>
          <w:tcPr>
            <w:tcW w:type="dxa" w:w="3120"/>
            <w:shd w:fill="F2F6FA"/>
            <w:tcMar>
              <w:top w:w="100" w:type="dxa"/>
              <w:bottom w:w="100" w:type="dxa"/>
              <w:left w:w="150" w:type="dxa"/>
              <w:right w:w="150" w:type="dxa"/>
            </w:tcMar>
          </w:tcPr>
          <w:p>
            <w:r>
              <w:rPr>
                <w:rFonts w:ascii="Calibri" w:hAnsi="Calibri"/>
                <w:color w:val="333333"/>
                <w:sz w:val="19"/>
              </w:rPr>
              <w:t>Total Login-to-Verification Pipeline Flow</w:t>
            </w:r>
          </w:p>
        </w:tc>
        <w:tc>
          <w:tcPr>
            <w:tcW w:type="dxa" w:w="3120"/>
            <w:shd w:fill="F2F6FA"/>
            <w:tcMar>
              <w:top w:w="100" w:type="dxa"/>
              <w:bottom w:w="100" w:type="dxa"/>
              <w:left w:w="150" w:type="dxa"/>
              <w:right w:w="150" w:type="dxa"/>
            </w:tcMar>
          </w:tcPr>
          <w:p>
            <w:r>
              <w:rPr>
                <w:rFonts w:ascii="Calibri" w:hAnsi="Calibri"/>
                <w:color w:val="333333"/>
                <w:sz w:val="19"/>
              </w:rPr>
              <w:t>1,150 - 1,200 ms</w:t>
            </w:r>
          </w:p>
        </w:tc>
        <w:tc>
          <w:tcPr>
            <w:tcW w:type="dxa" w:w="3120"/>
            <w:shd w:fill="F2F6FA"/>
            <w:tcMar>
              <w:top w:w="100" w:type="dxa"/>
              <w:bottom w:w="100" w:type="dxa"/>
              <w:left w:w="150" w:type="dxa"/>
              <w:right w:w="150" w:type="dxa"/>
            </w:tcMar>
          </w:tcPr>
          <w:p>
            <w:r>
              <w:rPr>
                <w:rFonts w:ascii="Calibri" w:hAnsi="Calibri"/>
                <w:color w:val="333333"/>
                <w:sz w:val="19"/>
              </w:rPr>
              <w:t>Optimal (Fluid user experience, under 1.2 seconds)</w:t>
            </w:r>
          </w:p>
        </w:tc>
      </w:tr>
    </w:tbl>
    <w:p/>
    <w:p>
      <w:pPr>
        <w:pStyle w:val="Heading1"/>
      </w:pPr>
      <w:r>
        <w:rPr>
          <w:color w:val="1A5490"/>
        </w:rPr>
        <w:t>8. Integration Steps &amp; Setup Manual</w:t>
      </w:r>
    </w:p>
    <w:p>
      <w:r>
        <w:rPr>
          <w:rFonts w:ascii="Calibri" w:hAnsi="Calibri"/>
        </w:rPr>
        <w:t>To compile, deploy, and connect the mobile application to the NHAI developer workstation:</w:t>
      </w:r>
    </w:p>
    <w:p>
      <w:pPr>
        <w:ind w:left="288"/>
      </w:pPr>
      <w:r>
        <w:rPr>
          <w:b/>
          <w:color w:val="FF9800"/>
        </w:rPr>
        <w:t>Step 1: Install Workstation Prerequisites</w:t>
        <w:br/>
      </w:r>
      <w:r>
        <w:rPr>
          <w:rFonts w:ascii="Calibri" w:hAnsi="Calibri"/>
        </w:rPr>
        <w:t>Ensure Node.js (&gt;=18), Android SDK, and Java Development Kit (JDK 17) are installed. Open a terminal and verify ADB version.</w:t>
      </w:r>
    </w:p>
    <w:p>
      <w:pPr>
        <w:ind w:left="288"/>
      </w:pPr>
      <w:r>
        <w:rPr>
          <w:b/>
          <w:color w:val="FF9800"/>
        </w:rPr>
        <w:t>Step 2: Connect the Android Device &amp; Reverse Port</w:t>
        <w:br/>
      </w:r>
      <w:r>
        <w:rPr>
          <w:rFonts w:ascii="Calibri" w:hAnsi="Calibri"/>
        </w:rPr>
        <w:t>Enable USB Debugging in Android Developer Options. Plug the device in and execute:</w:t>
        <w:br/>
      </w:r>
      <w:r>
        <w:rPr>
          <w:rFonts w:ascii="Courier New" w:hAnsi="Courier New"/>
          <w:b/>
          <w:sz w:val="19"/>
        </w:rPr>
        <w:t xml:space="preserve">   &gt; adb devices</w:t>
        <w:br/>
        <w:t xml:space="preserve">   &gt; adb reverse tcp:8081 tcp:8081</w:t>
      </w:r>
    </w:p>
    <w:p>
      <w:pPr>
        <w:ind w:left="288"/>
      </w:pPr>
      <w:r>
        <w:rPr>
          <w:b/>
          <w:color w:val="FF9800"/>
        </w:rPr>
        <w:t>Step 3: Start Metro Server &amp; Compile App</w:t>
        <w:br/>
      </w:r>
      <w:r>
        <w:rPr>
          <w:rFonts w:ascii="Calibri" w:hAnsi="Calibri"/>
        </w:rPr>
        <w:t>Run Metro bundler in terminal 1, and launch build compilation in terminal 2:</w:t>
        <w:br/>
      </w:r>
      <w:r>
        <w:rPr>
          <w:rFonts w:ascii="Courier New" w:hAnsi="Courier New"/>
          <w:b/>
          <w:sz w:val="19"/>
        </w:rPr>
        <w:t xml:space="preserve">   &gt; npm run start</w:t>
        <w:br/>
        <w:t xml:space="preserve">   &gt; npm run android</w:t>
      </w:r>
    </w:p>
    <w:p>
      <w:pPr>
        <w:ind w:left="288"/>
      </w:pPr>
      <w:r>
        <w:rPr>
          <w:b/>
          <w:color w:val="FF9800"/>
        </w:rPr>
        <w:t>Step 4: Database Verification &amp; Seeding</w:t>
        <w:br/>
      </w:r>
      <w:r>
        <w:rPr>
          <w:rFonts w:ascii="Calibri" w:hAnsi="Calibri"/>
        </w:rPr>
        <w:t>Upon launch, the SQLite database self-heals and seeds default credentials:</w:t>
        <w:br/>
        <w:t xml:space="preserve">  • Default Admin Username: 'Priyanshu solanki', Password: 'Passnhai'</w:t>
        <w:br/>
        <w:t xml:space="preserve">  • Seeded Employees: NHAI-101 (Amit Sharma), NHAI-102 (Sanjay Verma), NHAI-103 (Priya Patel)</w:t>
        <w:br/>
        <w:t xml:space="preserve">  • Seeded Site: HQ_OFFICE (NHAI HQ Delhi), SITE_A (Meerut Highway Project)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Confidential - For Internal NHAI Use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NHAI Secure Biometric Attendance System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