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6B87"/>
          <w:sz w:val="32"/>
        </w:rPr>
        <w:t>GRIDBRICKS</w:t>
      </w:r>
    </w:p>
    <w:p>
      <w:pPr>
        <w:pStyle w:val="Title"/>
        <w:jc w:val="center"/>
      </w:pPr>
      <w:r>
        <w:t>Full Stack SWE Challenge</w:t>
      </w:r>
    </w:p>
    <w:p>
      <w:pPr>
        <w:jc w:val="center"/>
      </w:pPr>
      <w:r>
        <w:rPr>
          <w:color w:val="486581"/>
          <w:sz w:val="30"/>
        </w:rPr>
        <w:t>Product Description, Technology Stack &amp; Antigravity Execution Plan</w:t>
      </w:r>
    </w:p>
    <w:p>
      <w:pPr>
        <w:spacing w:before="400"/>
        <w:jc w:val="center"/>
      </w:pPr>
      <w:r>
        <w:rPr>
          <w:i/>
        </w:rPr>
        <w:t>A practical implementation blueprint for a wind-generation forecast analytics dashboard</w:t>
      </w:r>
    </w:p>
    <w:p>
      <w:pPr>
        <w:spacing w:before="2000"/>
        <w:jc w:val="center"/>
      </w:pPr>
      <w:r>
        <w:rPr>
          <w:b/>
        </w:rPr>
        <w:t>Target workspace: D:\Projects\gridbricks-energy</w:t>
      </w:r>
    </w:p>
    <w:p>
      <w:pPr>
        <w:jc w:val="center"/>
      </w:pPr>
      <w:r>
        <w:t>Prepared: 27 October 2026</w:t>
      </w:r>
    </w:p>
    <w:p>
      <w:r>
        <w:br w:type="page"/>
      </w:r>
    </w:p>
    <w:p>
      <w:pPr>
        <w:pStyle w:val="Heading1"/>
      </w:pPr>
      <w:r>
        <w:t>1. Executive Summary</w:t>
      </w:r>
    </w:p>
    <w:p>
      <w:r>
        <w:t>Build a full-stack web application for a UK energy utility team that purchases electricity in the day-ahead wholesale market. The dashboard helps the team inspect UK-wide wind-generation forecasts that were available when purchasing decisions were made, compare those forecasts with actual wind generation, and quantify forecast error. The challenge specifically limits the analysis to purchase decisions made in January 2026 and asks for Elexon BMRS data: actual generation from FUELHH (fuelType WIND) and forecasts from WINDFOR.</w:t>
      </w:r>
    </w:p>
    <w:p>
      <w:r>
        <w:t>The deliverable is not merely a chart page. It is a small, explainable analytics product with a defensible data pipeline, clear forecast-selection rules, trustworthy metrics, a responsive React UI, a Python API, Docker support, deployment, a public GitHub repository, and a short demonstration video.</w:t>
      </w:r>
    </w:p>
    <w:p>
      <w:pPr>
        <w:pStyle w:val="Heading1"/>
      </w:pPr>
      <w:r>
        <w:t>2. Product Description</w:t>
      </w:r>
    </w:p>
    <w:p>
      <w:pPr>
        <w:pStyle w:val="Heading2"/>
      </w:pPr>
      <w:r>
        <w:t>Product name</w:t>
      </w:r>
    </w:p>
    <w:p>
      <w:r>
        <w:t>WindLens — UK Wind Generation Forecast Analytics (working title; rename if desired).</w:t>
      </w:r>
    </w:p>
    <w:p>
      <w:pPr>
        <w:pStyle w:val="Heading2"/>
      </w:pPr>
      <w:r>
        <w:t>Problem statement</w:t>
      </w:r>
    </w:p>
    <w:p>
      <w:r>
        <w:t>An energy utility must estimate how much electricity consumers will need and how much renewable generation will be available. Wind output is weather-dependent. The purchasing team makes day-ahead decisions, so it needs to know the forecast available at that time—not a forecast published later. It also needs a quantitative understanding of forecast error to make decisions with appropriate caution.</w:t>
      </w:r>
    </w:p>
    <w:p>
      <w:pPr>
        <w:pStyle w:val="Heading2"/>
      </w:pPr>
      <w:r>
        <w:t>Product goal</w:t>
      </w:r>
    </w:p>
    <w:p>
      <w:r>
        <w:t>Provide a clear, reproducible view of actual UK wind generation, forecasts available at the relevant decision cut-off, and the difference between them for January 2026.</w:t>
      </w:r>
    </w:p>
    <w:p>
      <w:pPr>
        <w:pStyle w:val="Heading2"/>
      </w:pPr>
      <w:r>
        <w:t>Target users</w:t>
      </w:r>
    </w:p>
    <w:p>
      <w:pPr>
        <w:pStyle w:val="ListBullet"/>
        <w:spacing w:after="40"/>
      </w:pPr>
      <w:r>
        <w:t>Energy procurement / day-ahead trading analysts who need to understand expected wind generation.</w:t>
      </w:r>
    </w:p>
    <w:p>
      <w:pPr>
        <w:pStyle w:val="ListBullet"/>
        <w:spacing w:after="40"/>
      </w:pPr>
      <w:r>
        <w:t>Operations and forecasting teams that monitor forecast reliability.</w:t>
      </w:r>
    </w:p>
    <w:p>
      <w:pPr>
        <w:pStyle w:val="ListBullet"/>
        <w:spacing w:after="40"/>
      </w:pPr>
      <w:r>
        <w:t>Technical reviewers who need to understand the data pipeline, assumptions, architecture and code quality.</w:t>
      </w:r>
    </w:p>
    <w:p>
      <w:pPr>
        <w:pStyle w:val="Heading2"/>
      </w:pPr>
      <w:r>
        <w:t>Core user journeys</w:t>
      </w:r>
    </w:p>
    <w:p>
      <w:pPr>
        <w:pStyle w:val="ListNumber"/>
        <w:spacing w:after="60"/>
      </w:pPr>
      <w:r>
        <w:t>Open the dashboard and see the selected January 2026 analysis window, data coverage and last successful data refresh.</w:t>
      </w:r>
    </w:p>
    <w:p>
      <w:pPr>
        <w:pStyle w:val="ListNumber"/>
        <w:spacing w:after="60"/>
      </w:pPr>
      <w:r>
        <w:t>Inspect a time-series chart of actual generation versus the forecast that was available at the purchasing decision cut-off.</w:t>
      </w:r>
    </w:p>
    <w:p>
      <w:pPr>
        <w:pStyle w:val="ListNumber"/>
        <w:spacing w:after="60"/>
      </w:pPr>
      <w:r>
        <w:t>Filter by date/time or forecast lead time where the data supports it.</w:t>
      </w:r>
    </w:p>
    <w:p>
      <w:pPr>
        <w:pStyle w:val="ListNumber"/>
        <w:spacing w:after="60"/>
      </w:pPr>
      <w:r>
        <w:t>Review MAE, RMSE, mean signed error, sample count and forecast coverage.</w:t>
      </w:r>
    </w:p>
    <w:p>
      <w:pPr>
        <w:pStyle w:val="ListNumber"/>
        <w:spacing w:after="60"/>
      </w:pPr>
      <w:r>
        <w:t>Inspect missing intervals, API status and methodology so the user can judge the reliability of the results.</w:t>
      </w:r>
    </w:p>
    <w:p>
      <w:pPr>
        <w:pStyle w:val="Heading2"/>
      </w:pPr>
      <w:r>
        <w:t>MVP features</w:t>
      </w:r>
    </w:p>
    <w:p>
      <w:pPr>
        <w:pStyle w:val="ListBullet"/>
        <w:spacing w:after="40"/>
      </w:pPr>
      <w:r>
        <w:t>Actual-vs-forecast time-series chart with units, labels, tooltips and a clear time zone.</w:t>
      </w:r>
    </w:p>
    <w:p>
      <w:pPr>
        <w:pStyle w:val="ListBullet"/>
        <w:spacing w:after="40"/>
      </w:pPr>
      <w:r>
        <w:t>KPI cards: MAE, RMSE, mean signed error, matched intervals and coverage.</w:t>
      </w:r>
    </w:p>
    <w:p>
      <w:pPr>
        <w:pStyle w:val="ListBullet"/>
        <w:spacing w:after="40"/>
      </w:pPr>
      <w:r>
        <w:t>Daily summaries and forecast-error visualisation.</w:t>
      </w:r>
    </w:p>
    <w:p>
      <w:pPr>
        <w:pStyle w:val="ListBullet"/>
        <w:spacing w:after="40"/>
      </w:pPr>
      <w:r>
        <w:t>Date and forecast-lead-time filters where supported.</w:t>
      </w:r>
    </w:p>
    <w:p>
      <w:pPr>
        <w:pStyle w:val="ListBullet"/>
        <w:spacing w:after="40"/>
      </w:pPr>
      <w:r>
        <w:t>Data-quality panel for missing values, duplicate intervals and API availability.</w:t>
      </w:r>
    </w:p>
    <w:p>
      <w:pPr>
        <w:pStyle w:val="ListBullet"/>
        <w:spacing w:after="40"/>
      </w:pPr>
      <w:r>
        <w:t>Methodology panel that explains the forecast publication cut-off and metric definitions.</w:t>
      </w:r>
    </w:p>
    <w:p>
      <w:pPr>
        <w:pStyle w:val="ListBullet"/>
        <w:spacing w:after="40"/>
      </w:pPr>
      <w:r>
        <w:t>Loading, empty, stale-data and API-error states; no silent substitution of fake data.</w:t>
      </w:r>
    </w:p>
    <w:p>
      <w:pPr>
        <w:pStyle w:val="ListBullet"/>
        <w:spacing w:after="40"/>
      </w:pPr>
      <w:r>
        <w:t>Responsive accessible layout and source attribution.</w:t>
      </w:r>
    </w:p>
    <w:p>
      <w:pPr>
        <w:pStyle w:val="Heading1"/>
      </w:pPr>
      <w:r>
        <w:t>3. Functional Requirements &amp; Acceptance Criteria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6B87"/>
          </w:tcPr>
          <w:p>
            <w:pPr>
              <w:spacing w:after="40"/>
            </w:pPr>
            <w:r/>
            <w:r>
              <w:rPr>
                <w:rFonts w:ascii="Aptos" w:hAnsi="Aptos"/>
                <w:b/>
                <w:color w:val="FFFFFF"/>
                <w:sz w:val="18"/>
              </w:rPr>
              <w:t>Area</w:t>
            </w:r>
          </w:p>
        </w:tc>
        <w:tc>
          <w:tcPr>
            <w:tcW w:type="dxa" w:w="4968"/>
            <w:vAlign w:val="center"/>
            <w:shd w:fill="176B87"/>
          </w:tcPr>
          <w:p>
            <w:pPr>
              <w:spacing w:after="40"/>
            </w:pPr>
            <w:r/>
            <w:r>
              <w:rPr>
                <w:rFonts w:ascii="Aptos" w:hAnsi="Aptos"/>
                <w:b/>
                <w:color w:val="FFFFFF"/>
                <w:sz w:val="18"/>
              </w:rPr>
              <w:t>Acceptance criteria</w:t>
            </w:r>
          </w:p>
        </w:tc>
      </w:tr>
      <w:tr>
        <w:tc>
          <w:tcPr>
            <w:tcW w:type="dxa" w:w="4968"/>
            <w:vAlign w:val="center"/>
          </w:tcPr>
          <w:p>
            <w:pPr>
              <w:spacing w:after="40"/>
            </w:pPr>
            <w:r/>
            <w:r>
              <w:rPr>
                <w:rFonts w:ascii="Aptos" w:hAnsi="Aptos"/>
                <w:b/>
                <w:color w:val="2B3341"/>
                <w:sz w:val="18"/>
              </w:rPr>
              <w:t>Data ingestion</w:t>
            </w:r>
          </w:p>
        </w:tc>
        <w:tc>
          <w:tcPr>
            <w:tcW w:type="dxa" w:w="4968"/>
            <w:vAlign w:val="center"/>
          </w:tcPr>
          <w:p>
            <w:pPr>
              <w:spacing w:after="40"/>
            </w:pPr>
            <w:r/>
            <w:r>
              <w:rPr>
                <w:rFonts w:ascii="Aptos" w:hAnsi="Aptos"/>
                <w:b w:val="0"/>
                <w:color w:val="2B3341"/>
                <w:sz w:val="18"/>
              </w:rPr>
              <w:t>Fetch FUELHH actuals for fuelType WIND and WINDFOR forecast records using verified Elexon API documentation. Handle pagination/streaming, timeouts, retries and rate limits.</w:t>
            </w:r>
          </w:p>
        </w:tc>
      </w:tr>
      <w:tr>
        <w:tc>
          <w:tcPr>
            <w:tcW w:type="dxa" w:w="4968"/>
            <w:vAlign w:val="center"/>
          </w:tcPr>
          <w:p>
            <w:pPr>
              <w:spacing w:after="40"/>
            </w:pPr>
            <w:r/>
            <w:r>
              <w:rPr>
                <w:rFonts w:ascii="Aptos" w:hAnsi="Aptos"/>
                <w:b/>
                <w:color w:val="2B3341"/>
                <w:sz w:val="18"/>
              </w:rPr>
              <w:t>Forecast selection</w:t>
            </w:r>
          </w:p>
        </w:tc>
        <w:tc>
          <w:tcPr>
            <w:tcW w:type="dxa" w:w="4968"/>
            <w:vAlign w:val="center"/>
          </w:tcPr>
          <w:p>
            <w:pPr>
              <w:spacing w:after="40"/>
            </w:pPr>
            <w:r/>
            <w:r>
              <w:rPr>
                <w:rFonts w:ascii="Aptos" w:hAnsi="Aptos"/>
                <w:b w:val="0"/>
                <w:color w:val="2B3341"/>
                <w:sz w:val="18"/>
              </w:rPr>
              <w:t>For each target interval, select only a forecast version published by the defined purchasing-decision cut-off. The rule and any assumption must be documented.</w:t>
            </w:r>
          </w:p>
        </w:tc>
      </w:tr>
      <w:tr>
        <w:tc>
          <w:tcPr>
            <w:tcW w:type="dxa" w:w="4968"/>
            <w:vAlign w:val="center"/>
          </w:tcPr>
          <w:p>
            <w:pPr>
              <w:spacing w:after="40"/>
            </w:pPr>
            <w:r/>
            <w:r>
              <w:rPr>
                <w:rFonts w:ascii="Aptos" w:hAnsi="Aptos"/>
                <w:b/>
                <w:color w:val="2B3341"/>
                <w:sz w:val="18"/>
              </w:rPr>
              <w:t>Time handling</w:t>
            </w:r>
          </w:p>
        </w:tc>
        <w:tc>
          <w:tcPr>
            <w:tcW w:type="dxa" w:w="4968"/>
            <w:vAlign w:val="center"/>
          </w:tcPr>
          <w:p>
            <w:pPr>
              <w:spacing w:after="40"/>
            </w:pPr>
            <w:r/>
            <w:r>
              <w:rPr>
                <w:rFonts w:ascii="Aptos" w:hAnsi="Aptos"/>
                <w:b w:val="0"/>
                <w:color w:val="2B3341"/>
                <w:sz w:val="18"/>
              </w:rPr>
              <w:t>Parse timestamps as timezone-aware values, normalize consistently, and handle UK daylight-saving transitions correctly.</w:t>
            </w:r>
          </w:p>
        </w:tc>
      </w:tr>
      <w:tr>
        <w:tc>
          <w:tcPr>
            <w:tcW w:type="dxa" w:w="4968"/>
            <w:vAlign w:val="center"/>
          </w:tcPr>
          <w:p>
            <w:pPr>
              <w:spacing w:after="40"/>
            </w:pPr>
            <w:r/>
            <w:r>
              <w:rPr>
                <w:rFonts w:ascii="Aptos" w:hAnsi="Aptos"/>
                <w:b/>
                <w:color w:val="2B3341"/>
                <w:sz w:val="18"/>
              </w:rPr>
              <w:t>Analysis window</w:t>
            </w:r>
          </w:p>
        </w:tc>
        <w:tc>
          <w:tcPr>
            <w:tcW w:type="dxa" w:w="4968"/>
            <w:vAlign w:val="center"/>
          </w:tcPr>
          <w:p>
            <w:pPr>
              <w:spacing w:after="40"/>
            </w:pPr>
            <w:r/>
            <w:r>
              <w:rPr>
                <w:rFonts w:ascii="Aptos" w:hAnsi="Aptos"/>
                <w:b w:val="0"/>
                <w:color w:val="2B3341"/>
                <w:sz w:val="18"/>
              </w:rPr>
              <w:t>Limit decision dates to January 2026, while retrieving the adjacent records needed to match target intervals and forecasts.</w:t>
            </w:r>
          </w:p>
        </w:tc>
      </w:tr>
      <w:tr>
        <w:tc>
          <w:tcPr>
            <w:tcW w:type="dxa" w:w="4968"/>
            <w:vAlign w:val="center"/>
          </w:tcPr>
          <w:p>
            <w:pPr>
              <w:spacing w:after="40"/>
            </w:pPr>
            <w:r/>
            <w:r>
              <w:rPr>
                <w:rFonts w:ascii="Aptos" w:hAnsi="Aptos"/>
                <w:b/>
                <w:color w:val="2B3341"/>
                <w:sz w:val="18"/>
              </w:rPr>
              <w:t>Metrics</w:t>
            </w:r>
          </w:p>
        </w:tc>
        <w:tc>
          <w:tcPr>
            <w:tcW w:type="dxa" w:w="4968"/>
            <w:vAlign w:val="center"/>
          </w:tcPr>
          <w:p>
            <w:pPr>
              <w:spacing w:after="40"/>
            </w:pPr>
            <w:r/>
            <w:r>
              <w:rPr>
                <w:rFonts w:ascii="Aptos" w:hAnsi="Aptos"/>
                <w:b w:val="0"/>
                <w:color w:val="2B3341"/>
                <w:sz w:val="18"/>
              </w:rPr>
              <w:t>Calculate MAE, RMSE and mean signed error on matched records; report sample count and coverage with every metric.</w:t>
            </w:r>
          </w:p>
        </w:tc>
      </w:tr>
      <w:tr>
        <w:tc>
          <w:tcPr>
            <w:tcW w:type="dxa" w:w="4968"/>
            <w:vAlign w:val="center"/>
          </w:tcPr>
          <w:p>
            <w:pPr>
              <w:spacing w:after="40"/>
            </w:pPr>
            <w:r/>
            <w:r>
              <w:rPr>
                <w:rFonts w:ascii="Aptos" w:hAnsi="Aptos"/>
                <w:b/>
                <w:color w:val="2B3341"/>
                <w:sz w:val="18"/>
              </w:rPr>
              <w:t>Data quality</w:t>
            </w:r>
          </w:p>
        </w:tc>
        <w:tc>
          <w:tcPr>
            <w:tcW w:type="dxa" w:w="4968"/>
            <w:vAlign w:val="center"/>
          </w:tcPr>
          <w:p>
            <w:pPr>
              <w:spacing w:after="40"/>
            </w:pPr>
            <w:r/>
            <w:r>
              <w:rPr>
                <w:rFonts w:ascii="Aptos" w:hAnsi="Aptos"/>
                <w:b w:val="0"/>
                <w:color w:val="2B3341"/>
                <w:sz w:val="18"/>
              </w:rPr>
              <w:t>Expose missing/duplicate records and never present synthetic fixtures as real Elexon observations.</w:t>
            </w:r>
          </w:p>
        </w:tc>
      </w:tr>
      <w:tr>
        <w:tc>
          <w:tcPr>
            <w:tcW w:type="dxa" w:w="4968"/>
            <w:vAlign w:val="center"/>
          </w:tcPr>
          <w:p>
            <w:pPr>
              <w:spacing w:after="40"/>
            </w:pPr>
            <w:r/>
            <w:r>
              <w:rPr>
                <w:rFonts w:ascii="Aptos" w:hAnsi="Aptos"/>
                <w:b/>
                <w:color w:val="2B3341"/>
                <w:sz w:val="18"/>
              </w:rPr>
              <w:t>Frontend</w:t>
            </w:r>
          </w:p>
        </w:tc>
        <w:tc>
          <w:tcPr>
            <w:tcW w:type="dxa" w:w="4968"/>
            <w:vAlign w:val="center"/>
          </w:tcPr>
          <w:p>
            <w:pPr>
              <w:spacing w:after="40"/>
            </w:pPr>
            <w:r/>
            <w:r>
              <w:rPr>
                <w:rFonts w:ascii="Aptos" w:hAnsi="Aptos"/>
                <w:b w:val="0"/>
                <w:color w:val="2B3341"/>
                <w:sz w:val="18"/>
              </w:rPr>
              <w:t>Use backend values, show source and time zone, and handle loading/error/empty states.</w:t>
            </w:r>
          </w:p>
        </w:tc>
      </w:tr>
      <w:tr>
        <w:tc>
          <w:tcPr>
            <w:tcW w:type="dxa" w:w="4968"/>
            <w:vAlign w:val="center"/>
          </w:tcPr>
          <w:p>
            <w:pPr>
              <w:spacing w:after="40"/>
            </w:pPr>
            <w:r/>
            <w:r>
              <w:rPr>
                <w:rFonts w:ascii="Aptos" w:hAnsi="Aptos"/>
                <w:b/>
                <w:color w:val="2B3341"/>
                <w:sz w:val="18"/>
              </w:rPr>
              <w:t>Testing</w:t>
            </w:r>
          </w:p>
        </w:tc>
        <w:tc>
          <w:tcPr>
            <w:tcW w:type="dxa" w:w="4968"/>
            <w:vAlign w:val="center"/>
          </w:tcPr>
          <w:p>
            <w:pPr>
              <w:spacing w:after="40"/>
            </w:pPr>
            <w:r/>
            <w:r>
              <w:rPr>
                <w:rFonts w:ascii="Aptos" w:hAnsi="Aptos"/>
                <w:b w:val="0"/>
                <w:color w:val="2B3341"/>
                <w:sz w:val="18"/>
              </w:rPr>
              <w:t>Include unit tests for metric formulas, cutoff selection, timestamp alignment, missing values and API response parsing.</w:t>
            </w:r>
          </w:p>
        </w:tc>
      </w:tr>
      <w:tr>
        <w:tc>
          <w:tcPr>
            <w:tcW w:type="dxa" w:w="4968"/>
            <w:vAlign w:val="center"/>
          </w:tcPr>
          <w:p>
            <w:pPr>
              <w:spacing w:after="40"/>
            </w:pPr>
            <w:r/>
            <w:r>
              <w:rPr>
                <w:rFonts w:ascii="Aptos" w:hAnsi="Aptos"/>
                <w:b/>
                <w:color w:val="2B3341"/>
                <w:sz w:val="18"/>
              </w:rPr>
              <w:t>Deployment</w:t>
            </w:r>
          </w:p>
        </w:tc>
        <w:tc>
          <w:tcPr>
            <w:tcW w:type="dxa" w:w="4968"/>
            <w:vAlign w:val="center"/>
          </w:tcPr>
          <w:p>
            <w:pPr>
              <w:spacing w:after="40"/>
            </w:pPr>
            <w:r/>
            <w:r>
              <w:rPr>
                <w:rFonts w:ascii="Aptos" w:hAnsi="Aptos"/>
                <w:b w:val="0"/>
                <w:color w:val="2B3341"/>
                <w:sz w:val="18"/>
              </w:rPr>
              <w:t>Provide Docker configuration, live frontend/backend URLs and documented environment variables.</w:t>
            </w:r>
          </w:p>
        </w:tc>
      </w:tr>
      <w:tr>
        <w:tc>
          <w:tcPr>
            <w:tcW w:type="dxa" w:w="4968"/>
            <w:vAlign w:val="center"/>
          </w:tcPr>
          <w:p>
            <w:pPr>
              <w:spacing w:after="40"/>
            </w:pPr>
            <w:r/>
            <w:r>
              <w:rPr>
                <w:rFonts w:ascii="Aptos" w:hAnsi="Aptos"/>
                <w:b/>
                <w:color w:val="2B3341"/>
                <w:sz w:val="18"/>
              </w:rPr>
              <w:t>Submission</w:t>
            </w:r>
          </w:p>
        </w:tc>
        <w:tc>
          <w:tcPr>
            <w:tcW w:type="dxa" w:w="4968"/>
            <w:vAlign w:val="center"/>
          </w:tcPr>
          <w:p>
            <w:pPr>
              <w:spacing w:after="40"/>
            </w:pPr>
            <w:r/>
            <w:r>
              <w:rPr>
                <w:rFonts w:ascii="Aptos" w:hAnsi="Aptos"/>
                <w:b w:val="0"/>
                <w:color w:val="2B3341"/>
                <w:sz w:val="18"/>
              </w:rPr>
              <w:t>Public anonymous-name GitHub repo, accurate README including AI disclosure, unlisted YouTube demo &lt;= 10 minutes, and completed submission form.</w:t>
            </w:r>
          </w:p>
        </w:tc>
      </w:tr>
    </w:tbl>
    <w:p>
      <w:pPr>
        <w:pStyle w:val="Heading1"/>
      </w:pPr>
      <w:r>
        <w:t>4. Recommended Technology Stack</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6B87"/>
          </w:tcPr>
          <w:p>
            <w:pPr>
              <w:spacing w:after="40"/>
            </w:pPr>
            <w:r/>
            <w:r>
              <w:rPr>
                <w:rFonts w:ascii="Aptos" w:hAnsi="Aptos"/>
                <w:b/>
                <w:color w:val="FFFFFF"/>
                <w:sz w:val="18"/>
              </w:rPr>
              <w:t>Layer</w:t>
            </w:r>
          </w:p>
        </w:tc>
        <w:tc>
          <w:tcPr>
            <w:tcW w:type="dxa" w:w="3312"/>
            <w:vAlign w:val="center"/>
            <w:shd w:fill="176B87"/>
          </w:tcPr>
          <w:p>
            <w:pPr>
              <w:spacing w:after="40"/>
            </w:pPr>
            <w:r/>
            <w:r>
              <w:rPr>
                <w:rFonts w:ascii="Aptos" w:hAnsi="Aptos"/>
                <w:b/>
                <w:color w:val="FFFFFF"/>
                <w:sz w:val="18"/>
              </w:rPr>
              <w:t>Recommended technology</w:t>
            </w:r>
          </w:p>
        </w:tc>
        <w:tc>
          <w:tcPr>
            <w:tcW w:type="dxa" w:w="3312"/>
            <w:vAlign w:val="center"/>
            <w:shd w:fill="176B87"/>
          </w:tcPr>
          <w:p>
            <w:pPr>
              <w:spacing w:after="40"/>
            </w:pPr>
            <w:r/>
            <w:r>
              <w:rPr>
                <w:rFonts w:ascii="Aptos" w:hAnsi="Aptos"/>
                <w:b/>
                <w:color w:val="FFFFFF"/>
                <w:sz w:val="18"/>
              </w:rPr>
              <w:t>Reason</w:t>
            </w:r>
          </w:p>
        </w:tc>
      </w:tr>
      <w:tr>
        <w:tc>
          <w:tcPr>
            <w:tcW w:type="dxa" w:w="3312"/>
            <w:vAlign w:val="center"/>
          </w:tcPr>
          <w:p>
            <w:pPr>
              <w:spacing w:after="40"/>
            </w:pPr>
            <w:r/>
            <w:r>
              <w:rPr>
                <w:rFonts w:ascii="Aptos" w:hAnsi="Aptos"/>
                <w:b/>
                <w:color w:val="2B3341"/>
                <w:sz w:val="17"/>
              </w:rPr>
              <w:t>Frontend</w:t>
            </w:r>
          </w:p>
        </w:tc>
        <w:tc>
          <w:tcPr>
            <w:tcW w:type="dxa" w:w="3312"/>
            <w:vAlign w:val="center"/>
          </w:tcPr>
          <w:p>
            <w:pPr>
              <w:spacing w:after="40"/>
            </w:pPr>
            <w:r/>
            <w:r>
              <w:rPr>
                <w:rFonts w:ascii="Aptos" w:hAnsi="Aptos"/>
                <w:b w:val="0"/>
                <w:color w:val="2B3341"/>
                <w:sz w:val="17"/>
              </w:rPr>
              <w:t>React + Vite + TypeScript</w:t>
            </w:r>
          </w:p>
        </w:tc>
        <w:tc>
          <w:tcPr>
            <w:tcW w:type="dxa" w:w="3312"/>
            <w:vAlign w:val="center"/>
          </w:tcPr>
          <w:p>
            <w:pPr>
              <w:spacing w:after="40"/>
            </w:pPr>
            <w:r/>
            <w:r>
              <w:rPr>
                <w:rFonts w:ascii="Aptos" w:hAnsi="Aptos"/>
                <w:b w:val="0"/>
                <w:color w:val="2B3341"/>
                <w:sz w:val="17"/>
              </w:rPr>
              <w:t>Fast local feedback, component-based UI, type safety and simple Vercel deployment.</w:t>
            </w:r>
          </w:p>
        </w:tc>
      </w:tr>
      <w:tr>
        <w:tc>
          <w:tcPr>
            <w:tcW w:type="dxa" w:w="3312"/>
            <w:vAlign w:val="center"/>
          </w:tcPr>
          <w:p>
            <w:pPr>
              <w:spacing w:after="40"/>
            </w:pPr>
            <w:r/>
            <w:r>
              <w:rPr>
                <w:rFonts w:ascii="Aptos" w:hAnsi="Aptos"/>
                <w:b/>
                <w:color w:val="2B3341"/>
                <w:sz w:val="17"/>
              </w:rPr>
              <w:t>Charts</w:t>
            </w:r>
          </w:p>
        </w:tc>
        <w:tc>
          <w:tcPr>
            <w:tcW w:type="dxa" w:w="3312"/>
            <w:vAlign w:val="center"/>
          </w:tcPr>
          <w:p>
            <w:pPr>
              <w:spacing w:after="40"/>
            </w:pPr>
            <w:r/>
            <w:r>
              <w:rPr>
                <w:rFonts w:ascii="Aptos" w:hAnsi="Aptos"/>
                <w:b w:val="0"/>
                <w:color w:val="2B3341"/>
                <w:sz w:val="17"/>
              </w:rPr>
              <w:t>Recharts (or another maintained React chart library)</w:t>
            </w:r>
          </w:p>
        </w:tc>
        <w:tc>
          <w:tcPr>
            <w:tcW w:type="dxa" w:w="3312"/>
            <w:vAlign w:val="center"/>
          </w:tcPr>
          <w:p>
            <w:pPr>
              <w:spacing w:after="40"/>
            </w:pPr>
            <w:r/>
            <w:r>
              <w:rPr>
                <w:rFonts w:ascii="Aptos" w:hAnsi="Aptos"/>
                <w:b w:val="0"/>
                <w:color w:val="2B3341"/>
                <w:sz w:val="17"/>
              </w:rPr>
              <w:t>Line charts for actual vs forecast and compact error/coverage visualisations.</w:t>
            </w:r>
          </w:p>
        </w:tc>
      </w:tr>
      <w:tr>
        <w:tc>
          <w:tcPr>
            <w:tcW w:type="dxa" w:w="3312"/>
            <w:vAlign w:val="center"/>
          </w:tcPr>
          <w:p>
            <w:pPr>
              <w:spacing w:after="40"/>
            </w:pPr>
            <w:r/>
            <w:r>
              <w:rPr>
                <w:rFonts w:ascii="Aptos" w:hAnsi="Aptos"/>
                <w:b/>
                <w:color w:val="2B3341"/>
                <w:sz w:val="17"/>
              </w:rPr>
              <w:t>Styling</w:t>
            </w:r>
          </w:p>
        </w:tc>
        <w:tc>
          <w:tcPr>
            <w:tcW w:type="dxa" w:w="3312"/>
            <w:vAlign w:val="center"/>
          </w:tcPr>
          <w:p>
            <w:pPr>
              <w:spacing w:after="40"/>
            </w:pPr>
            <w:r/>
            <w:r>
              <w:rPr>
                <w:rFonts w:ascii="Aptos" w:hAnsi="Aptos"/>
                <w:b w:val="0"/>
                <w:color w:val="2B3341"/>
                <w:sz w:val="17"/>
              </w:rPr>
              <w:t>Tailwind CSS or CSS Modules</w:t>
            </w:r>
          </w:p>
        </w:tc>
        <w:tc>
          <w:tcPr>
            <w:tcW w:type="dxa" w:w="3312"/>
            <w:vAlign w:val="center"/>
          </w:tcPr>
          <w:p>
            <w:pPr>
              <w:spacing w:after="40"/>
            </w:pPr>
            <w:r/>
            <w:r>
              <w:rPr>
                <w:rFonts w:ascii="Aptos" w:hAnsi="Aptos"/>
                <w:b w:val="0"/>
                <w:color w:val="2B3341"/>
                <w:sz w:val="17"/>
              </w:rPr>
              <w:t>Consistent responsive UI. Choose one approach rather than mixing systems.</w:t>
            </w:r>
          </w:p>
        </w:tc>
      </w:tr>
      <w:tr>
        <w:tc>
          <w:tcPr>
            <w:tcW w:type="dxa" w:w="3312"/>
            <w:vAlign w:val="center"/>
          </w:tcPr>
          <w:p>
            <w:pPr>
              <w:spacing w:after="40"/>
            </w:pPr>
            <w:r/>
            <w:r>
              <w:rPr>
                <w:rFonts w:ascii="Aptos" w:hAnsi="Aptos"/>
                <w:b/>
                <w:color w:val="2B3341"/>
                <w:sz w:val="17"/>
              </w:rPr>
              <w:t>Backend API</w:t>
            </w:r>
          </w:p>
        </w:tc>
        <w:tc>
          <w:tcPr>
            <w:tcW w:type="dxa" w:w="3312"/>
            <w:vAlign w:val="center"/>
          </w:tcPr>
          <w:p>
            <w:pPr>
              <w:spacing w:after="40"/>
            </w:pPr>
            <w:r/>
            <w:r>
              <w:rPr>
                <w:rFonts w:ascii="Aptos" w:hAnsi="Aptos"/>
                <w:b w:val="0"/>
                <w:color w:val="2B3341"/>
                <w:sz w:val="17"/>
              </w:rPr>
              <w:t>Python 3.12 + FastAPI + Uvicorn</w:t>
            </w:r>
          </w:p>
        </w:tc>
        <w:tc>
          <w:tcPr>
            <w:tcW w:type="dxa" w:w="3312"/>
            <w:vAlign w:val="center"/>
          </w:tcPr>
          <w:p>
            <w:pPr>
              <w:spacing w:after="40"/>
            </w:pPr>
            <w:r/>
            <w:r>
              <w:rPr>
                <w:rFonts w:ascii="Aptos" w:hAnsi="Aptos"/>
                <w:b w:val="0"/>
                <w:color w:val="2B3341"/>
                <w:sz w:val="17"/>
              </w:rPr>
              <w:t>Typed API schemas, automatic OpenAPI docs and straightforward local hosting.</w:t>
            </w:r>
          </w:p>
        </w:tc>
      </w:tr>
      <w:tr>
        <w:tc>
          <w:tcPr>
            <w:tcW w:type="dxa" w:w="3312"/>
            <w:vAlign w:val="center"/>
          </w:tcPr>
          <w:p>
            <w:pPr>
              <w:spacing w:after="40"/>
            </w:pPr>
            <w:r/>
            <w:r>
              <w:rPr>
                <w:rFonts w:ascii="Aptos" w:hAnsi="Aptos"/>
                <w:b/>
                <w:color w:val="2B3341"/>
                <w:sz w:val="17"/>
              </w:rPr>
              <w:t>Data processing</w:t>
            </w:r>
          </w:p>
        </w:tc>
        <w:tc>
          <w:tcPr>
            <w:tcW w:type="dxa" w:w="3312"/>
            <w:vAlign w:val="center"/>
          </w:tcPr>
          <w:p>
            <w:pPr>
              <w:spacing w:after="40"/>
            </w:pPr>
            <w:r/>
            <w:r>
              <w:rPr>
                <w:rFonts w:ascii="Aptos" w:hAnsi="Aptos"/>
                <w:b w:val="0"/>
                <w:color w:val="2B3341"/>
                <w:sz w:val="17"/>
              </w:rPr>
              <w:t>pandas + NumPy</w:t>
            </w:r>
          </w:p>
        </w:tc>
        <w:tc>
          <w:tcPr>
            <w:tcW w:type="dxa" w:w="3312"/>
            <w:vAlign w:val="center"/>
          </w:tcPr>
          <w:p>
            <w:pPr>
              <w:spacing w:after="40"/>
            </w:pPr>
            <w:r/>
            <w:r>
              <w:rPr>
                <w:rFonts w:ascii="Aptos" w:hAnsi="Aptos"/>
                <w:b w:val="0"/>
                <w:color w:val="2B3341"/>
                <w:sz w:val="17"/>
              </w:rPr>
              <w:t>Timestamp alignment, missing-data handling and error metrics.</w:t>
            </w:r>
          </w:p>
        </w:tc>
      </w:tr>
      <w:tr>
        <w:tc>
          <w:tcPr>
            <w:tcW w:type="dxa" w:w="3312"/>
            <w:vAlign w:val="center"/>
          </w:tcPr>
          <w:p>
            <w:pPr>
              <w:spacing w:after="40"/>
            </w:pPr>
            <w:r/>
            <w:r>
              <w:rPr>
                <w:rFonts w:ascii="Aptos" w:hAnsi="Aptos"/>
                <w:b/>
                <w:color w:val="2B3341"/>
                <w:sz w:val="17"/>
              </w:rPr>
              <w:t>HTTP client</w:t>
            </w:r>
          </w:p>
        </w:tc>
        <w:tc>
          <w:tcPr>
            <w:tcW w:type="dxa" w:w="3312"/>
            <w:vAlign w:val="center"/>
          </w:tcPr>
          <w:p>
            <w:pPr>
              <w:spacing w:after="40"/>
            </w:pPr>
            <w:r/>
            <w:r>
              <w:rPr>
                <w:rFonts w:ascii="Aptos" w:hAnsi="Aptos"/>
                <w:b w:val="0"/>
                <w:color w:val="2B3341"/>
                <w:sz w:val="17"/>
              </w:rPr>
              <w:t>httpx</w:t>
            </w:r>
          </w:p>
        </w:tc>
        <w:tc>
          <w:tcPr>
            <w:tcW w:type="dxa" w:w="3312"/>
            <w:vAlign w:val="center"/>
          </w:tcPr>
          <w:p>
            <w:pPr>
              <w:spacing w:after="40"/>
            </w:pPr>
            <w:r/>
            <w:r>
              <w:rPr>
                <w:rFonts w:ascii="Aptos" w:hAnsi="Aptos"/>
                <w:b w:val="0"/>
                <w:color w:val="2B3341"/>
                <w:sz w:val="17"/>
              </w:rPr>
              <w:t>Timeouts, connection reuse and testable Elexon requests.</w:t>
            </w:r>
          </w:p>
        </w:tc>
      </w:tr>
      <w:tr>
        <w:tc>
          <w:tcPr>
            <w:tcW w:type="dxa" w:w="3312"/>
            <w:vAlign w:val="center"/>
          </w:tcPr>
          <w:p>
            <w:pPr>
              <w:spacing w:after="40"/>
            </w:pPr>
            <w:r/>
            <w:r>
              <w:rPr>
                <w:rFonts w:ascii="Aptos" w:hAnsi="Aptos"/>
                <w:b/>
                <w:color w:val="2B3341"/>
                <w:sz w:val="17"/>
              </w:rPr>
              <w:t>Validation</w:t>
            </w:r>
          </w:p>
        </w:tc>
        <w:tc>
          <w:tcPr>
            <w:tcW w:type="dxa" w:w="3312"/>
            <w:vAlign w:val="center"/>
          </w:tcPr>
          <w:p>
            <w:pPr>
              <w:spacing w:after="40"/>
            </w:pPr>
            <w:r/>
            <w:r>
              <w:rPr>
                <w:rFonts w:ascii="Aptos" w:hAnsi="Aptos"/>
                <w:b w:val="0"/>
                <w:color w:val="2B3341"/>
                <w:sz w:val="17"/>
              </w:rPr>
              <w:t>Pydantic</w:t>
            </w:r>
          </w:p>
        </w:tc>
        <w:tc>
          <w:tcPr>
            <w:tcW w:type="dxa" w:w="3312"/>
            <w:vAlign w:val="center"/>
          </w:tcPr>
          <w:p>
            <w:pPr>
              <w:spacing w:after="40"/>
            </w:pPr>
            <w:r/>
            <w:r>
              <w:rPr>
                <w:rFonts w:ascii="Aptos" w:hAnsi="Aptos"/>
                <w:b w:val="0"/>
                <w:color w:val="2B3341"/>
                <w:sz w:val="17"/>
              </w:rPr>
              <w:t>Validate API inputs, settings and response shapes.</w:t>
            </w:r>
          </w:p>
        </w:tc>
      </w:tr>
      <w:tr>
        <w:tc>
          <w:tcPr>
            <w:tcW w:type="dxa" w:w="3312"/>
            <w:vAlign w:val="center"/>
          </w:tcPr>
          <w:p>
            <w:pPr>
              <w:spacing w:after="40"/>
            </w:pPr>
            <w:r/>
            <w:r>
              <w:rPr>
                <w:rFonts w:ascii="Aptos" w:hAnsi="Aptos"/>
                <w:b/>
                <w:color w:val="2B3341"/>
                <w:sz w:val="17"/>
              </w:rPr>
              <w:t>Testing</w:t>
            </w:r>
          </w:p>
        </w:tc>
        <w:tc>
          <w:tcPr>
            <w:tcW w:type="dxa" w:w="3312"/>
            <w:vAlign w:val="center"/>
          </w:tcPr>
          <w:p>
            <w:pPr>
              <w:spacing w:after="40"/>
            </w:pPr>
            <w:r/>
            <w:r>
              <w:rPr>
                <w:rFonts w:ascii="Aptos" w:hAnsi="Aptos"/>
                <w:b w:val="0"/>
                <w:color w:val="2B3341"/>
                <w:sz w:val="17"/>
              </w:rPr>
              <w:t>pytest + FastAPI TestClient; Vitest + React Testing Library</w:t>
            </w:r>
          </w:p>
        </w:tc>
        <w:tc>
          <w:tcPr>
            <w:tcW w:type="dxa" w:w="3312"/>
            <w:vAlign w:val="center"/>
          </w:tcPr>
          <w:p>
            <w:pPr>
              <w:spacing w:after="40"/>
            </w:pPr>
            <w:r/>
            <w:r>
              <w:rPr>
                <w:rFonts w:ascii="Aptos" w:hAnsi="Aptos"/>
                <w:b w:val="0"/>
                <w:color w:val="2B3341"/>
                <w:sz w:val="17"/>
              </w:rPr>
              <w:t>Test business logic, API endpoints and important UI states.</w:t>
            </w:r>
          </w:p>
        </w:tc>
      </w:tr>
      <w:tr>
        <w:tc>
          <w:tcPr>
            <w:tcW w:type="dxa" w:w="3312"/>
            <w:vAlign w:val="center"/>
          </w:tcPr>
          <w:p>
            <w:pPr>
              <w:spacing w:after="40"/>
            </w:pPr>
            <w:r/>
            <w:r>
              <w:rPr>
                <w:rFonts w:ascii="Aptos" w:hAnsi="Aptos"/>
                <w:b/>
                <w:color w:val="2B3341"/>
                <w:sz w:val="17"/>
              </w:rPr>
              <w:t>Lint / format</w:t>
            </w:r>
          </w:p>
        </w:tc>
        <w:tc>
          <w:tcPr>
            <w:tcW w:type="dxa" w:w="3312"/>
            <w:vAlign w:val="center"/>
          </w:tcPr>
          <w:p>
            <w:pPr>
              <w:spacing w:after="40"/>
            </w:pPr>
            <w:r/>
            <w:r>
              <w:rPr>
                <w:rFonts w:ascii="Aptos" w:hAnsi="Aptos"/>
                <w:b w:val="0"/>
                <w:color w:val="2B3341"/>
                <w:sz w:val="17"/>
              </w:rPr>
              <w:t>Ruff for Python; ESLint/Prettier for frontend</w:t>
            </w:r>
          </w:p>
        </w:tc>
        <w:tc>
          <w:tcPr>
            <w:tcW w:type="dxa" w:w="3312"/>
            <w:vAlign w:val="center"/>
          </w:tcPr>
          <w:p>
            <w:pPr>
              <w:spacing w:after="40"/>
            </w:pPr>
            <w:r/>
            <w:r>
              <w:rPr>
                <w:rFonts w:ascii="Aptos" w:hAnsi="Aptos"/>
                <w:b w:val="0"/>
                <w:color w:val="2B3341"/>
                <w:sz w:val="17"/>
              </w:rPr>
              <w:t>Consistent, reviewable code.</w:t>
            </w:r>
          </w:p>
        </w:tc>
      </w:tr>
      <w:tr>
        <w:tc>
          <w:tcPr>
            <w:tcW w:type="dxa" w:w="3312"/>
            <w:vAlign w:val="center"/>
          </w:tcPr>
          <w:p>
            <w:pPr>
              <w:spacing w:after="40"/>
            </w:pPr>
            <w:r/>
            <w:r>
              <w:rPr>
                <w:rFonts w:ascii="Aptos" w:hAnsi="Aptos"/>
                <w:b/>
                <w:color w:val="2B3341"/>
                <w:sz w:val="17"/>
              </w:rPr>
              <w:t>Containers</w:t>
            </w:r>
          </w:p>
        </w:tc>
        <w:tc>
          <w:tcPr>
            <w:tcW w:type="dxa" w:w="3312"/>
            <w:vAlign w:val="center"/>
          </w:tcPr>
          <w:p>
            <w:pPr>
              <w:spacing w:after="40"/>
            </w:pPr>
            <w:r/>
            <w:r>
              <w:rPr>
                <w:rFonts w:ascii="Aptos" w:hAnsi="Aptos"/>
                <w:b w:val="0"/>
                <w:color w:val="2B3341"/>
                <w:sz w:val="17"/>
              </w:rPr>
              <w:t>Docker + Docker Compose</w:t>
            </w:r>
          </w:p>
        </w:tc>
        <w:tc>
          <w:tcPr>
            <w:tcW w:type="dxa" w:w="3312"/>
            <w:vAlign w:val="center"/>
          </w:tcPr>
          <w:p>
            <w:pPr>
              <w:spacing w:after="40"/>
            </w:pPr>
            <w:r/>
            <w:r>
              <w:rPr>
                <w:rFonts w:ascii="Aptos" w:hAnsi="Aptos"/>
                <w:b w:val="0"/>
                <w:color w:val="2B3341"/>
                <w:sz w:val="17"/>
              </w:rPr>
              <w:t>Repeatable local setup and a clear container-based backend deployment.</w:t>
            </w:r>
          </w:p>
        </w:tc>
      </w:tr>
      <w:tr>
        <w:tc>
          <w:tcPr>
            <w:tcW w:type="dxa" w:w="3312"/>
            <w:vAlign w:val="center"/>
          </w:tcPr>
          <w:p>
            <w:pPr>
              <w:spacing w:after="40"/>
            </w:pPr>
            <w:r/>
            <w:r>
              <w:rPr>
                <w:rFonts w:ascii="Aptos" w:hAnsi="Aptos"/>
                <w:b/>
                <w:color w:val="2B3341"/>
                <w:sz w:val="17"/>
              </w:rPr>
              <w:t>Version control</w:t>
            </w:r>
          </w:p>
        </w:tc>
        <w:tc>
          <w:tcPr>
            <w:tcW w:type="dxa" w:w="3312"/>
            <w:vAlign w:val="center"/>
          </w:tcPr>
          <w:p>
            <w:pPr>
              <w:spacing w:after="40"/>
            </w:pPr>
            <w:r/>
            <w:r>
              <w:rPr>
                <w:rFonts w:ascii="Aptos" w:hAnsi="Aptos"/>
                <w:b w:val="0"/>
                <w:color w:val="2B3341"/>
                <w:sz w:val="17"/>
              </w:rPr>
              <w:t>Git + public GitHub repository</w:t>
            </w:r>
          </w:p>
        </w:tc>
        <w:tc>
          <w:tcPr>
            <w:tcW w:type="dxa" w:w="3312"/>
            <w:vAlign w:val="center"/>
          </w:tcPr>
          <w:p>
            <w:pPr>
              <w:spacing w:after="40"/>
            </w:pPr>
            <w:r/>
            <w:r>
              <w:rPr>
                <w:rFonts w:ascii="Aptos" w:hAnsi="Aptos"/>
                <w:b w:val="0"/>
                <w:color w:val="2B3341"/>
                <w:sz w:val="17"/>
              </w:rPr>
              <w:t>Incremental commits, code review and submission.</w:t>
            </w:r>
          </w:p>
        </w:tc>
      </w:tr>
      <w:tr>
        <w:tc>
          <w:tcPr>
            <w:tcW w:type="dxa" w:w="3312"/>
            <w:vAlign w:val="center"/>
          </w:tcPr>
          <w:p>
            <w:pPr>
              <w:spacing w:after="40"/>
            </w:pPr>
            <w:r/>
            <w:r>
              <w:rPr>
                <w:rFonts w:ascii="Aptos" w:hAnsi="Aptos"/>
                <w:b/>
                <w:color w:val="2B3341"/>
                <w:sz w:val="17"/>
              </w:rPr>
              <w:t>Frontend hosting</w:t>
            </w:r>
          </w:p>
        </w:tc>
        <w:tc>
          <w:tcPr>
            <w:tcW w:type="dxa" w:w="3312"/>
            <w:vAlign w:val="center"/>
          </w:tcPr>
          <w:p>
            <w:pPr>
              <w:spacing w:after="40"/>
            </w:pPr>
            <w:r/>
            <w:r>
              <w:rPr>
                <w:rFonts w:ascii="Aptos" w:hAnsi="Aptos"/>
                <w:b w:val="0"/>
                <w:color w:val="2B3341"/>
                <w:sz w:val="17"/>
              </w:rPr>
              <w:t>Vercel</w:t>
            </w:r>
          </w:p>
        </w:tc>
        <w:tc>
          <w:tcPr>
            <w:tcW w:type="dxa" w:w="3312"/>
            <w:vAlign w:val="center"/>
          </w:tcPr>
          <w:p>
            <w:pPr>
              <w:spacing w:after="40"/>
            </w:pPr>
            <w:r/>
            <w:r>
              <w:rPr>
                <w:rFonts w:ascii="Aptos" w:hAnsi="Aptos"/>
                <w:b w:val="0"/>
                <w:color w:val="2B3341"/>
                <w:sz w:val="17"/>
              </w:rPr>
              <w:t>Deploy the Vite/React frontend from GitHub.</w:t>
            </w:r>
          </w:p>
        </w:tc>
      </w:tr>
      <w:tr>
        <w:tc>
          <w:tcPr>
            <w:tcW w:type="dxa" w:w="3312"/>
            <w:vAlign w:val="center"/>
          </w:tcPr>
          <w:p>
            <w:pPr>
              <w:spacing w:after="40"/>
            </w:pPr>
            <w:r/>
            <w:r>
              <w:rPr>
                <w:rFonts w:ascii="Aptos" w:hAnsi="Aptos"/>
                <w:b/>
                <w:color w:val="2B3341"/>
                <w:sz w:val="17"/>
              </w:rPr>
              <w:t>Backend hosting</w:t>
            </w:r>
          </w:p>
        </w:tc>
        <w:tc>
          <w:tcPr>
            <w:tcW w:type="dxa" w:w="3312"/>
            <w:vAlign w:val="center"/>
          </w:tcPr>
          <w:p>
            <w:pPr>
              <w:spacing w:after="40"/>
            </w:pPr>
            <w:r/>
            <w:r>
              <w:rPr>
                <w:rFonts w:ascii="Aptos" w:hAnsi="Aptos"/>
                <w:b w:val="0"/>
                <w:color w:val="2B3341"/>
                <w:sz w:val="17"/>
              </w:rPr>
              <w:t>A Docker/Python-compatible host such as Render, or Heroku if the assignment account supports it</w:t>
            </w:r>
          </w:p>
        </w:tc>
        <w:tc>
          <w:tcPr>
            <w:tcW w:type="dxa" w:w="3312"/>
            <w:vAlign w:val="center"/>
          </w:tcPr>
          <w:p>
            <w:pPr>
              <w:spacing w:after="40"/>
            </w:pPr>
            <w:r/>
            <w:r>
              <w:rPr>
                <w:rFonts w:ascii="Aptos" w:hAnsi="Aptos"/>
                <w:b w:val="0"/>
                <w:color w:val="2B3341"/>
                <w:sz w:val="17"/>
              </w:rPr>
              <w:t>Host FastAPI separately; configure the deployed frontend origin in CORS.</w:t>
            </w:r>
          </w:p>
        </w:tc>
      </w:tr>
      <w:tr>
        <w:tc>
          <w:tcPr>
            <w:tcW w:type="dxa" w:w="3312"/>
            <w:vAlign w:val="center"/>
          </w:tcPr>
          <w:p>
            <w:pPr>
              <w:spacing w:after="40"/>
            </w:pPr>
            <w:r/>
            <w:r>
              <w:rPr>
                <w:rFonts w:ascii="Aptos" w:hAnsi="Aptos"/>
                <w:b/>
                <w:color w:val="2B3341"/>
                <w:sz w:val="17"/>
              </w:rPr>
              <w:t>AI development</w:t>
            </w:r>
          </w:p>
        </w:tc>
        <w:tc>
          <w:tcPr>
            <w:tcW w:type="dxa" w:w="3312"/>
            <w:vAlign w:val="center"/>
          </w:tcPr>
          <w:p>
            <w:pPr>
              <w:spacing w:after="40"/>
            </w:pPr>
            <w:r/>
            <w:r>
              <w:rPr>
                <w:rFonts w:ascii="Aptos" w:hAnsi="Aptos"/>
                <w:b w:val="0"/>
                <w:color w:val="2B3341"/>
                <w:sz w:val="17"/>
              </w:rPr>
              <w:t>Google Antigravity</w:t>
            </w:r>
          </w:p>
        </w:tc>
        <w:tc>
          <w:tcPr>
            <w:tcW w:type="dxa" w:w="3312"/>
            <w:vAlign w:val="center"/>
          </w:tcPr>
          <w:p>
            <w:pPr>
              <w:spacing w:after="40"/>
            </w:pPr>
            <w:r/>
            <w:r>
              <w:rPr>
                <w:rFonts w:ascii="Aptos" w:hAnsi="Aptos"/>
                <w:b w:val="0"/>
                <w:color w:val="2B3341"/>
                <w:sz w:val="17"/>
              </w:rPr>
              <w:t>Plan work, generate bounded changes, inspect diffs, run tests and debug in stages.</w:t>
            </w:r>
          </w:p>
        </w:tc>
      </w:tr>
    </w:tbl>
    <w:p>
      <w:pPr>
        <w:pStyle w:val="Heading1"/>
      </w:pPr>
      <w:r>
        <w:t>5. Data Sources &amp; Critical Methodology</w:t>
      </w:r>
    </w:p>
    <w:p>
      <w:r>
        <w:t>Use the official sources specified by the assignment:</w:t>
      </w:r>
    </w:p>
    <w:p>
      <w:pPr>
        <w:pStyle w:val="ListBullet"/>
        <w:spacing w:after="40"/>
      </w:pPr>
      <w:r>
        <w:t>Actual generation: Elexon BMRS FUELHH stream/dataset; filter fuelType = WIND. Relevant fields include startTime and generation.</w:t>
      </w:r>
    </w:p>
    <w:p>
      <w:pPr>
        <w:pStyle w:val="ListBullet"/>
        <w:spacing w:after="40"/>
      </w:pPr>
      <w:r>
        <w:t>Forecast generation: Elexon BMRS WINDFOR stream/dataset. Relevant fields include startTime, publishTime and generation.</w:t>
      </w:r>
    </w:p>
    <w:p>
      <w:pPr>
        <w:pStyle w:val="ListBullet"/>
        <w:spacing w:after="40"/>
      </w:pPr>
      <w:r>
        <w:t>Actual API documentation: https://bmrs.elexon.co.uk/api-documentation/endpoint/datasets/FUELHH/stream</w:t>
      </w:r>
    </w:p>
    <w:p>
      <w:pPr>
        <w:pStyle w:val="ListBullet"/>
        <w:spacing w:after="40"/>
      </w:pPr>
      <w:r>
        <w:t>Forecast API documentation: https://bmrs.elexon.co.uk/api-documentation/endpoint/datasets/WINDFOR/stream</w:t>
      </w:r>
    </w:p>
    <w:p>
      <w:pPr>
        <w:pStyle w:val="Heading2"/>
      </w:pPr>
      <w:r>
        <w:t>Forecast selection rule</w:t>
      </w:r>
    </w:p>
    <w:p>
      <w:r>
        <w:t>For a target interval, filter forecast records to those published no later than the applicable purchasing-decision cut-off, then select the latest eligible publication for that interval. The assignment excerpt does not specify an exact clock-time cut-off, so do not silently invent one: inspect the complete brief or clarify it. If an assumption is unavoidable, state it prominently and make it configurable. A forecast published after the decision is look-ahead information and must not be used to evaluate what the buyer could have known.</w:t>
      </w:r>
    </w:p>
    <w:p>
      <w:pPr>
        <w:pStyle w:val="Heading2"/>
      </w:pPr>
      <w:r>
        <w:t>Metrics</w:t>
      </w:r>
    </w:p>
    <w:p>
      <w:r>
        <w:t>Let Fᵢ be the selected forecast, Aᵢ the actual generation, and n the number of valid matched intervals.</w:t>
      </w:r>
    </w:p>
    <w:p>
      <w:pPr>
        <w:pStyle w:val="ListBullet"/>
        <w:spacing w:after="40"/>
      </w:pPr>
      <w:r>
        <w:t>MAE = mean(|Fᵢ − Aᵢ|): typical absolute forecast error.</w:t>
      </w:r>
    </w:p>
    <w:p>
      <w:pPr>
        <w:pStyle w:val="ListBullet"/>
        <w:spacing w:after="40"/>
      </w:pPr>
      <w:r>
        <w:t>RMSE = sqrt(mean((Fᵢ − Aᵢ)²)): penalises larger errors more strongly.</w:t>
      </w:r>
    </w:p>
    <w:p>
      <w:pPr>
        <w:pStyle w:val="ListBullet"/>
        <w:spacing w:after="40"/>
      </w:pPr>
      <w:r>
        <w:t>Mean signed error = mean(Fᵢ − Aᵢ): positive means over-forecast on average; negative means under-forecast.</w:t>
      </w:r>
    </w:p>
    <w:p>
      <w:pPr>
        <w:pStyle w:val="ListBullet"/>
        <w:spacing w:after="40"/>
      </w:pPr>
      <w:r>
        <w:t>Coverage = matched valid intervals / eligible target intervals. Always show n and coverage next to accuracy metrics.</w:t>
      </w:r>
    </w:p>
    <w:p>
      <w:r>
        <w:t>Do not assume a unit or scale from a field name alone. Verify units and semantics in the current Elexon documentation and response examples. Use synthetic data only in tests, clearly labelled; the production UI must distinguish missing source data from real observations.</w:t>
      </w:r>
    </w:p>
    <w:p>
      <w:pPr>
        <w:pStyle w:val="Heading1"/>
      </w:pPr>
      <w:r>
        <w:t>6. Proposed Architecture</w:t>
      </w:r>
    </w:p>
    <w:p>
      <w:pPr>
        <w:spacing w:before="40" w:after="140"/>
        <w:ind w:left="317"/>
        <w:shd w:fill="F1F5F9"/>
      </w:pPr>
      <w:r>
        <w:rPr>
          <w:rFonts w:ascii="Consolas" w:hAnsi="Consolas"/>
          <w:color w:val="243B53"/>
          <w:sz w:val="18"/>
        </w:rPr>
        <w:t>Browser</w:t>
        <w:br/>
        <w:t xml:space="preserve">  └── React + Vite UI</w:t>
        <w:br/>
        <w:t xml:space="preserve">        └── HTTP requests to FastAPI</w:t>
        <w:br/>
        <w:t xml:space="preserve">              ├── /health</w:t>
        <w:br/>
        <w:t xml:space="preserve">              ├── /api/summary</w:t>
        <w:br/>
        <w:t xml:space="preserve">              ├── /api/generation</w:t>
        <w:br/>
        <w:t xml:space="preserve">              ├── /api/accuracy</w:t>
        <w:br/>
        <w:t xml:space="preserve">              └── /api/data-quality</w:t>
        <w:br/>
        <w:br/>
        <w:t>FastAPI backend</w:t>
        <w:br/>
        <w:t xml:space="preserve">  ├── API routes + Pydantic schemas</w:t>
        <w:br/>
        <w:t xml:space="preserve">  ├── Elexon client (httpx)</w:t>
        <w:br/>
        <w:t xml:space="preserve">  ├── parsing / timezone normalization</w:t>
        <w:br/>
        <w:t xml:space="preserve">  ├── forecast cutoff and interval matching</w:t>
        <w:br/>
        <w:t xml:space="preserve">  ├── metrics and aggregation (pandas / NumPy)</w:t>
        <w:br/>
        <w:t xml:space="preserve">  └── cache / bounded local data cache</w:t>
        <w:br/>
        <w:br/>
        <w:t>Tests</w:t>
        <w:br/>
        <w:t xml:space="preserve">  ├── backend unit and API tests</w:t>
        <w:br/>
        <w:t xml:space="preserve">  └── frontend component tests</w:t>
      </w:r>
    </w:p>
    <w:p>
      <w:r>
        <w:t>Keep source access, business logic and HTTP routes separate. The frontend should not call Elexon directly if the backend is responsible for normalization and analysis.</w:t>
      </w:r>
    </w:p>
    <w:p>
      <w:pPr>
        <w:pStyle w:val="Heading1"/>
      </w:pPr>
      <w:r>
        <w:t>7. Suggested Repository Structure</w:t>
      </w:r>
    </w:p>
    <w:p>
      <w:pPr>
        <w:spacing w:before="40" w:after="140"/>
        <w:ind w:left="317"/>
        <w:shd w:fill="F1F5F9"/>
      </w:pPr>
      <w:r>
        <w:rPr>
          <w:rFonts w:ascii="Consolas" w:hAnsi="Consolas"/>
          <w:color w:val="243B53"/>
          <w:sz w:val="18"/>
        </w:rPr>
        <w:t>gridbricks-energy/</w:t>
        <w:br/>
        <w:t>├── frontend/</w:t>
        <w:br/>
        <w:t>│   ├── src/</w:t>
        <w:br/>
        <w:t>│   │   ├── components/</w:t>
        <w:br/>
        <w:t>│   │   ├── pages/</w:t>
        <w:br/>
        <w:t>│   │   ├── services/</w:t>
        <w:br/>
        <w:t>│   │   ├── hooks/</w:t>
        <w:br/>
        <w:t>│   │   └── types/</w:t>
        <w:br/>
        <w:t>│   ├── package.json</w:t>
        <w:br/>
        <w:t>│   └── vite.config.ts</w:t>
        <w:br/>
        <w:t>├── backend/</w:t>
        <w:br/>
        <w:t>│   ├── app/</w:t>
        <w:br/>
        <w:t>│   │   ├── main.py</w:t>
        <w:br/>
        <w:t>│   │   ├── api/</w:t>
        <w:br/>
        <w:t>│   │   ├── clients/elexon.py</w:t>
        <w:br/>
        <w:t>│   │   ├── services/</w:t>
        <w:br/>
        <w:t>│   │   ├── schemas/</w:t>
        <w:br/>
        <w:t>│   │   └── core/config.py</w:t>
        <w:br/>
        <w:t>│   ├── tests/</w:t>
        <w:br/>
        <w:t>│   └── requirements.txt</w:t>
        <w:br/>
        <w:t>├── docs/</w:t>
        <w:br/>
        <w:t>│   ├── architecture.md</w:t>
        <w:br/>
        <w:t>│   └── methodology.md</w:t>
        <w:br/>
        <w:t>├── docker-compose.yml</w:t>
        <w:br/>
        <w:t>├── .env.example</w:t>
        <w:br/>
        <w:t>├── .gitignore</w:t>
        <w:br/>
        <w:t>└── README.md</w:t>
      </w:r>
    </w:p>
    <w:p>
      <w:pPr>
        <w:pStyle w:val="Heading1"/>
      </w:pPr>
      <w:r>
        <w:t>8. Antigravity Execution Plan (16-Hour Budget)</w:t>
      </w:r>
    </w:p>
    <w:p>
      <w:r>
        <w:t>Use Antigravity as an implementation assistant, not as a one-shot code generator. Work in small phases, inspect diffs, run commands and verify the result before accepting the next phase.</w:t>
      </w:r>
    </w:p>
    <w:p>
      <w:pPr>
        <w:pStyle w:val="Heading2"/>
      </w:pPr>
      <w:r>
        <w:t>0.5 h — Requirements and plan</w:t>
      </w:r>
    </w:p>
    <w:p>
      <w:r>
        <w:t>Open D:\Projects\gridbricks-energy as the workspace. Ask the agent to restate requirements, list uncertainties and propose the architecture. Do not code yet.</w:t>
      </w:r>
    </w:p>
    <w:p>
      <w:pPr>
        <w:pStyle w:val="Heading2"/>
      </w:pPr>
      <w:r>
        <w:t>1 h — Scaffold and health check</w:t>
      </w:r>
    </w:p>
    <w:p>
      <w:r>
        <w:t>Create React/Vite and FastAPI folders, dependency files, environment configuration, /health endpoint and a frontend health check. Run both locally.</w:t>
      </w:r>
    </w:p>
    <w:p>
      <w:pPr>
        <w:pStyle w:val="Heading2"/>
      </w:pPr>
      <w:r>
        <w:t>2.5 h — Elexon data client</w:t>
      </w:r>
    </w:p>
    <w:p>
      <w:r>
        <w:t>Verify current API schema and filters from official docs. Implement actual and forecast retrieval, pagination/streaming handling, timeouts, retries, parsing and source metadata. Test with mocked fixtures.</w:t>
      </w:r>
    </w:p>
    <w:p>
      <w:pPr>
        <w:pStyle w:val="Heading2"/>
      </w:pPr>
      <w:r>
        <w:t>2 h — Matching and analytics</w:t>
      </w:r>
    </w:p>
    <w:p>
      <w:r>
        <w:t>Implement timezone-aware interval alignment, configurable decision cutoff, eligible forecast selection, missing-data rules, MAE/RMSE/signed error/coverage and daily aggregation. Add unit tests.</w:t>
      </w:r>
    </w:p>
    <w:p>
      <w:pPr>
        <w:pStyle w:val="Heading2"/>
      </w:pPr>
      <w:r>
        <w:t>2.5 h — Dashboard UI</w:t>
      </w:r>
    </w:p>
    <w:p>
      <w:r>
        <w:t>Build KPI cards, actual-vs-forecast chart, error chart, date/lead-time filters, data quality and methodology sections. Connect to backend and implement loading/error/empty states.</w:t>
      </w:r>
    </w:p>
    <w:p>
      <w:pPr>
        <w:pStyle w:val="Heading2"/>
      </w:pPr>
      <w:r>
        <w:t>1.5 h — Integration and QA</w:t>
      </w:r>
    </w:p>
    <w:p>
      <w:r>
        <w:t>Run backend/frontend tests, build and lint. Check date boundaries, forecast publication selection, units, time zones, duplicate/missing data and browser console.</w:t>
      </w:r>
    </w:p>
    <w:p>
      <w:pPr>
        <w:pStyle w:val="Heading2"/>
      </w:pPr>
      <w:r>
        <w:t>1 h — Docker</w:t>
      </w:r>
    </w:p>
    <w:p>
      <w:r>
        <w:t>Write Dockerfiles and Compose config. Build and run containers; verify health endpoint and frontend-to-backend connectivity.</w:t>
      </w:r>
    </w:p>
    <w:p>
      <w:pPr>
        <w:pStyle w:val="Heading2"/>
      </w:pPr>
      <w:r>
        <w:t>1.5 h — Deployment</w:t>
      </w:r>
    </w:p>
    <w:p>
      <w:r>
        <w:t>Publish GitHub repository; deploy frontend and backend; set environment variables and CORS; test live URLs. Leave time for hosting-specific issues.</w:t>
      </w:r>
    </w:p>
    <w:p>
      <w:pPr>
        <w:pStyle w:val="Heading2"/>
      </w:pPr>
      <w:r>
        <w:t>1.5 h — README and demo</w:t>
      </w:r>
    </w:p>
    <w:p>
      <w:r>
        <w:t>Write setup, architecture, data methodology, limitations, tests, deployment links and AI disclosure. Record an unlisted demo under 10 minutes and submit the form.</w:t>
      </w:r>
    </w:p>
    <w:p>
      <w:r>
        <w:t>Total planned effort: approximately 14.5 hours plus 1.5 hours of contingency. If the API or hosting presents unexpected issues, protect data correctness, tests, README and the required video first; trim decorative UI features before trimming validation.</w:t>
      </w:r>
    </w:p>
    <w:p>
      <w:pPr>
        <w:pStyle w:val="Heading1"/>
      </w:pPr>
      <w:r>
        <w:t>9. Antigravity Operating Rules</w:t>
      </w:r>
    </w:p>
    <w:p>
      <w:pPr>
        <w:pStyle w:val="ListNumber"/>
        <w:spacing w:after="60"/>
      </w:pPr>
      <w:r>
        <w:t>Keep the workspace at D:\Projects\gridbricks-energy. Confirm the workspace path before letting the agent create files.</w:t>
      </w:r>
    </w:p>
    <w:p>
      <w:pPr>
        <w:pStyle w:val="ListNumber"/>
        <w:spacing w:after="60"/>
      </w:pPr>
      <w:r>
        <w:t>Use one prompt per phase. Ask the agent to summarize planned changes before broad edits.</w:t>
      </w:r>
    </w:p>
    <w:p>
      <w:pPr>
        <w:pStyle w:val="ListNumber"/>
        <w:spacing w:after="60"/>
      </w:pPr>
      <w:r>
        <w:t>Review file diffs and approve terminal commands deliberately; do not approve destructive commands blindly.</w:t>
      </w:r>
    </w:p>
    <w:p>
      <w:pPr>
        <w:pStyle w:val="ListNumber"/>
        <w:spacing w:after="60"/>
      </w:pPr>
      <w:r>
        <w:t>Ask the agent to run tests and report real results. Never accept a claim of success without command output.</w:t>
      </w:r>
    </w:p>
    <w:p>
      <w:pPr>
        <w:pStyle w:val="ListNumber"/>
        <w:spacing w:after="60"/>
      </w:pPr>
      <w:r>
        <w:t>Keep API access, business logic, schemas and UI components separate.</w:t>
      </w:r>
    </w:p>
    <w:p>
      <w:pPr>
        <w:pStyle w:val="ListNumber"/>
        <w:spacing w:after="60"/>
      </w:pPr>
      <w:r>
        <w:t>Never commit secrets. Use .env locally, .env.example for names/placeholders, and host-managed environment variables in production.</w:t>
      </w:r>
    </w:p>
    <w:p>
      <w:pPr>
        <w:pStyle w:val="ListNumber"/>
        <w:spacing w:after="60"/>
      </w:pPr>
      <w:r>
        <w:t>Do not let the agent fabricate data or hardcode believable-looking production metrics.</w:t>
      </w:r>
    </w:p>
    <w:p>
      <w:pPr>
        <w:pStyle w:val="ListNumber"/>
        <w:spacing w:after="60"/>
      </w:pPr>
      <w:r>
        <w:t>Make Git commits at working milestones so a bad change can be reverted.</w:t>
      </w:r>
    </w:p>
    <w:p>
      <w:pPr>
        <w:pStyle w:val="Heading1"/>
      </w:pPr>
      <w:r>
        <w:t>10. Copy-Paste Prompts for Antigravity</w:t>
      </w:r>
    </w:p>
    <w:p>
      <w:pPr>
        <w:pStyle w:val="Heading2"/>
      </w:pPr>
      <w:r>
        <w:t>Prompt A — Plan first</w:t>
      </w:r>
    </w:p>
    <w:p>
      <w:pPr>
        <w:spacing w:before="40" w:after="140"/>
        <w:ind w:left="317"/>
        <w:shd w:fill="F1F5F9"/>
      </w:pPr>
      <w:r>
        <w:rPr>
          <w:rFonts w:ascii="Consolas" w:hAnsi="Consolas"/>
          <w:color w:val="243B53"/>
          <w:sz w:val="18"/>
        </w:rPr>
        <w:t>I am building the Gridbricks Full Stack SWE challenge in the currently opened workspace. First restate the requirements, list ambiguities, propose architecture and a phased plan that fits within 16 hours. Do not write application code yet. Prioritize forecast publication-time correctness, reproducibility, testing and the required deliverables. Keep all files in the current workspace on D:.</w:t>
      </w:r>
    </w:p>
    <w:p>
      <w:pPr>
        <w:pStyle w:val="Heading2"/>
      </w:pPr>
      <w:r>
        <w:t>Prompt B — Scaffold</w:t>
      </w:r>
    </w:p>
    <w:p>
      <w:pPr>
        <w:spacing w:before="40" w:after="140"/>
        <w:ind w:left="317"/>
        <w:shd w:fill="F1F5F9"/>
      </w:pPr>
      <w:r>
        <w:rPr>
          <w:rFonts w:ascii="Consolas" w:hAnsi="Consolas"/>
          <w:color w:val="243B53"/>
          <w:sz w:val="18"/>
        </w:rPr>
        <w:t>Implement only the project scaffold: React + Vite + TypeScript frontend and Python 3.12 + FastAPI backend, dependency files, .env.example, .gitignore, /health endpoint, frontend health check, basic tests and Windows setup instructions. Do not implement fake data or the full dashboard yet. Run the available checks and report exact results.</w:t>
      </w:r>
    </w:p>
    <w:p>
      <w:pPr>
        <w:pStyle w:val="Heading2"/>
      </w:pPr>
      <w:r>
        <w:t>Prompt C — Elexon integration</w:t>
      </w:r>
    </w:p>
    <w:p>
      <w:pPr>
        <w:spacing w:before="40" w:after="140"/>
        <w:ind w:left="317"/>
        <w:shd w:fill="F1F5F9"/>
      </w:pPr>
      <w:r>
        <w:rPr>
          <w:rFonts w:ascii="Consolas" w:hAnsi="Consolas"/>
          <w:color w:val="243B53"/>
          <w:sz w:val="18"/>
        </w:rPr>
        <w:t>Inspect the official FUELHH and WINDFOR API documentation before coding. Implement a testable Elexon client for actual WIND generation and forecasts. Verify request parameters, response schema, pagination/streaming, units and timestamps. Normalize timestamps, handle failures and missing data, preserve publishTime for forecasts, and use mocked fixtures in tests. Never represent test fixtures as live observations.</w:t>
      </w:r>
    </w:p>
    <w:p>
      <w:pPr>
        <w:pStyle w:val="Heading2"/>
      </w:pPr>
      <w:r>
        <w:t>Prompt D — Analysis</w:t>
      </w:r>
    </w:p>
    <w:p>
      <w:pPr>
        <w:spacing w:before="40" w:after="140"/>
        <w:ind w:left="317"/>
        <w:shd w:fill="F1F5F9"/>
      </w:pPr>
      <w:r>
        <w:rPr>
          <w:rFonts w:ascii="Consolas" w:hAnsi="Consolas"/>
          <w:color w:val="243B53"/>
          <w:sz w:val="18"/>
        </w:rPr>
        <w:t>Implement forecast selection using only records published by the explicitly documented purchasing-decision cutoff. If the cutoff is not specified in the assignment, expose it as a configuration/assumption and document it; do not silently invent it. Align actual and forecast intervals, calculate MAE, RMSE, mean signed error and coverage, and add tests for time zones, missing intervals, duplicates and forecast eligibility.</w:t>
      </w:r>
    </w:p>
    <w:p>
      <w:pPr>
        <w:pStyle w:val="Heading2"/>
      </w:pPr>
      <w:r>
        <w:t>Prompt E — UI</w:t>
      </w:r>
    </w:p>
    <w:p>
      <w:pPr>
        <w:spacing w:before="40" w:after="140"/>
        <w:ind w:left="317"/>
        <w:shd w:fill="F1F5F9"/>
      </w:pPr>
      <w:r>
        <w:rPr>
          <w:rFonts w:ascii="Consolas" w:hAnsi="Consolas"/>
          <w:color w:val="243B53"/>
          <w:sz w:val="18"/>
        </w:rPr>
        <w:t>Build a responsive professional React dashboard connected to the real backend. Include KPI cards, actual-vs-forecast time series, error visualisation, date/lead-time filters where supported, data-quality indicators, source attribution and methodology. Include loading, error and empty states. Never hardcode production metrics. Run the frontend build and tests.</w:t>
      </w:r>
    </w:p>
    <w:p>
      <w:pPr>
        <w:pStyle w:val="Heading2"/>
      </w:pPr>
      <w:r>
        <w:t>Prompt F — Final audit</w:t>
      </w:r>
    </w:p>
    <w:p>
      <w:pPr>
        <w:spacing w:before="40" w:after="140"/>
        <w:ind w:left="317"/>
        <w:shd w:fill="F1F5F9"/>
      </w:pPr>
      <w:r>
        <w:rPr>
          <w:rFonts w:ascii="Consolas" w:hAnsi="Consolas"/>
          <w:color w:val="243B53"/>
          <w:sz w:val="18"/>
        </w:rPr>
        <w:t>Audit the whole project. Run backend tests, frontend tests, lint and production build. Verify the API integration, cutoff logic, units, timestamps, missing-data handling, Docker, environment variables, CORS, README and AI disclosure. Fix failures and report only checks actually executed. List remaining limitations and exact reproducible commands.</w:t>
      </w:r>
    </w:p>
    <w:p>
      <w:pPr>
        <w:pStyle w:val="Heading1"/>
      </w:pPr>
      <w:r>
        <w:t>11. Local Run Commands (Adjust to Actual Generated Structure)</w:t>
      </w:r>
    </w:p>
    <w:p>
      <w:r>
        <w:t>Backend PowerShell example:</w:t>
      </w:r>
    </w:p>
    <w:p>
      <w:pPr>
        <w:spacing w:before="40" w:after="140"/>
        <w:ind w:left="317"/>
        <w:shd w:fill="F1F5F9"/>
      </w:pPr>
      <w:r>
        <w:rPr>
          <w:rFonts w:ascii="Consolas" w:hAnsi="Consolas"/>
          <w:color w:val="243B53"/>
          <w:sz w:val="18"/>
        </w:rPr>
        <w:t>cd D:\Projects\gridbricks-energy\backend</w:t>
        <w:br/>
        <w:t>py -3.12 -m venv .venv</w:t>
        <w:br/>
        <w:t>.\.venv\Scripts\Activate.ps1</w:t>
        <w:br/>
        <w:t>python -m pip install -r requirements.txt</w:t>
        <w:br/>
        <w:t>uvicorn app.main:app --reload</w:t>
      </w:r>
    </w:p>
    <w:p>
      <w:r>
        <w:t>Frontend PowerShell example in a second terminal:</w:t>
      </w:r>
    </w:p>
    <w:p>
      <w:pPr>
        <w:spacing w:before="40" w:after="140"/>
        <w:ind w:left="317"/>
        <w:shd w:fill="F1F5F9"/>
      </w:pPr>
      <w:r>
        <w:rPr>
          <w:rFonts w:ascii="Consolas" w:hAnsi="Consolas"/>
          <w:color w:val="243B53"/>
          <w:sz w:val="18"/>
        </w:rPr>
        <w:t>cd D:\Projects\gridbricks-energy\frontend</w:t>
        <w:br/>
        <w:t>npm install</w:t>
        <w:br/>
        <w:t>npm run dev</w:t>
      </w:r>
    </w:p>
    <w:p>
      <w:r>
        <w:t>These commands assume the backend entry point is backend/app/main.py. If Antigravity generates a different module path, follow the actual project structure. The frontend development URL is typically http://localhost:5173 and FastAPI docs are typically at http://127.0.0.1:8000/docs.</w:t>
      </w:r>
    </w:p>
    <w:p>
      <w:pPr>
        <w:pStyle w:val="Heading1"/>
      </w:pPr>
      <w:r>
        <w:t>12. Deployment, README and Submission Checklist</w:t>
      </w:r>
    </w:p>
    <w:p>
      <w:pPr>
        <w:pStyle w:val="ListBullet"/>
        <w:spacing w:after="40"/>
      </w:pPr>
      <w:r>
        <w:t>☐ Actual FUELHH and WINDFOR requests verified against official docs and tested.</w:t>
      </w:r>
    </w:p>
    <w:p>
      <w:pPr>
        <w:pStyle w:val="ListBullet"/>
        <w:spacing w:after="40"/>
      </w:pPr>
      <w:r>
        <w:t>☐ Forecast selection never uses a publication after the stated decision cutoff.</w:t>
      </w:r>
    </w:p>
    <w:p>
      <w:pPr>
        <w:pStyle w:val="ListBullet"/>
        <w:spacing w:after="40"/>
      </w:pPr>
      <w:r>
        <w:t>☐ January 2026 scope and any decision-time assumption are clearly documented.</w:t>
      </w:r>
    </w:p>
    <w:p>
      <w:pPr>
        <w:pStyle w:val="ListBullet"/>
        <w:spacing w:after="40"/>
      </w:pPr>
      <w:r>
        <w:t>☐ MAE, RMSE, signed error, sample count and coverage tested against known cases.</w:t>
      </w:r>
    </w:p>
    <w:p>
      <w:pPr>
        <w:pStyle w:val="ListBullet"/>
        <w:spacing w:after="40"/>
      </w:pPr>
      <w:r>
        <w:t>☐ Frontend uses backend data and shows source, units, time zone and data quality.</w:t>
      </w:r>
    </w:p>
    <w:p>
      <w:pPr>
        <w:pStyle w:val="ListBullet"/>
        <w:spacing w:after="40"/>
      </w:pPr>
      <w:r>
        <w:t>☐ Backend and frontend tests/builds run successfully; results recorded accurately.</w:t>
      </w:r>
    </w:p>
    <w:p>
      <w:pPr>
        <w:pStyle w:val="ListBullet"/>
        <w:spacing w:after="40"/>
      </w:pPr>
      <w:r>
        <w:t>☐ Docker image builds and local container setup works.</w:t>
      </w:r>
    </w:p>
    <w:p>
      <w:pPr>
        <w:pStyle w:val="ListBullet"/>
        <w:spacing w:after="40"/>
      </w:pPr>
      <w:r>
        <w:t>☐ Public GitHub repository uses an anonymous name and contains no secrets.</w:t>
      </w:r>
    </w:p>
    <w:p>
      <w:pPr>
        <w:pStyle w:val="ListBullet"/>
        <w:spacing w:after="40"/>
      </w:pPr>
      <w:r>
        <w:t>☐ README includes setup, folder structure, methodology, tests, deployment and AI disclosure.</w:t>
      </w:r>
    </w:p>
    <w:p>
      <w:pPr>
        <w:pStyle w:val="ListBullet"/>
        <w:spacing w:after="40"/>
      </w:pPr>
      <w:r>
        <w:t>☐ Frontend and backend deployed; live URLs tested in a private/incognito browser.</w:t>
      </w:r>
    </w:p>
    <w:p>
      <w:pPr>
        <w:pStyle w:val="ListBullet"/>
        <w:spacing w:after="40"/>
      </w:pPr>
      <w:r>
        <w:t>☐ Unlisted YouTube demo is under 10 minutes and covers customer and technical views.</w:t>
      </w:r>
    </w:p>
    <w:p>
      <w:pPr>
        <w:pStyle w:val="ListBullet"/>
        <w:spacing w:after="40"/>
      </w:pPr>
      <w:r>
        <w:t>☐ Submission form completed with all required URLs.</w:t>
      </w:r>
    </w:p>
    <w:p>
      <w:pPr>
        <w:pStyle w:val="Heading1"/>
      </w:pPr>
      <w:r>
        <w:t>13. Key Risks and Mitigations</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76B87"/>
          </w:tcPr>
          <w:p>
            <w:pPr>
              <w:spacing w:after="40"/>
            </w:pPr>
            <w:r/>
            <w:r>
              <w:rPr>
                <w:rFonts w:ascii="Aptos" w:hAnsi="Aptos"/>
                <w:b/>
                <w:color w:val="FFFFFF"/>
                <w:sz w:val="18"/>
              </w:rPr>
              <w:t>Risk</w:t>
            </w:r>
          </w:p>
        </w:tc>
        <w:tc>
          <w:tcPr>
            <w:tcW w:type="dxa" w:w="4968"/>
            <w:vAlign w:val="center"/>
            <w:shd w:fill="176B87"/>
          </w:tcPr>
          <w:p>
            <w:pPr>
              <w:spacing w:after="40"/>
            </w:pPr>
            <w:r/>
            <w:r>
              <w:rPr>
                <w:rFonts w:ascii="Aptos" w:hAnsi="Aptos"/>
                <w:b/>
                <w:color w:val="FFFFFF"/>
                <w:sz w:val="18"/>
              </w:rPr>
              <w:t>Mitigation</w:t>
            </w:r>
          </w:p>
        </w:tc>
      </w:tr>
      <w:tr>
        <w:tc>
          <w:tcPr>
            <w:tcW w:type="dxa" w:w="4968"/>
            <w:vAlign w:val="center"/>
          </w:tcPr>
          <w:p>
            <w:pPr>
              <w:spacing w:after="40"/>
            </w:pPr>
            <w:r/>
            <w:r>
              <w:rPr>
                <w:rFonts w:ascii="Aptos" w:hAnsi="Aptos"/>
                <w:b/>
                <w:color w:val="2B3341"/>
                <w:sz w:val="18"/>
              </w:rPr>
              <w:t>Unspecified decision cutoff</w:t>
            </w:r>
          </w:p>
        </w:tc>
        <w:tc>
          <w:tcPr>
            <w:tcW w:type="dxa" w:w="4968"/>
            <w:vAlign w:val="center"/>
          </w:tcPr>
          <w:p>
            <w:pPr>
              <w:spacing w:after="40"/>
            </w:pPr>
            <w:r/>
            <w:r>
              <w:rPr>
                <w:rFonts w:ascii="Aptos" w:hAnsi="Aptos"/>
                <w:b w:val="0"/>
                <w:color w:val="2B3341"/>
                <w:sz w:val="18"/>
              </w:rPr>
              <w:t>Do not invent a hidden rule. Check the complete challenge brief; if still unspecified, document a configurable assumption and explain it in the demo.</w:t>
            </w:r>
          </w:p>
        </w:tc>
      </w:tr>
      <w:tr>
        <w:tc>
          <w:tcPr>
            <w:tcW w:type="dxa" w:w="4968"/>
            <w:vAlign w:val="center"/>
          </w:tcPr>
          <w:p>
            <w:pPr>
              <w:spacing w:after="40"/>
            </w:pPr>
            <w:r/>
            <w:r>
              <w:rPr>
                <w:rFonts w:ascii="Aptos" w:hAnsi="Aptos"/>
                <w:b/>
                <w:color w:val="2B3341"/>
                <w:sz w:val="18"/>
              </w:rPr>
              <w:t>API schema or access changes</w:t>
            </w:r>
          </w:p>
        </w:tc>
        <w:tc>
          <w:tcPr>
            <w:tcW w:type="dxa" w:w="4968"/>
            <w:vAlign w:val="center"/>
          </w:tcPr>
          <w:p>
            <w:pPr>
              <w:spacing w:after="40"/>
            </w:pPr>
            <w:r/>
            <w:r>
              <w:rPr>
                <w:rFonts w:ascii="Aptos" w:hAnsi="Aptos"/>
                <w:b w:val="0"/>
                <w:color w:val="2B3341"/>
                <w:sz w:val="18"/>
              </w:rPr>
              <w:t>Verify the live official documentation, add response validation and mock the client for deterministic tests.</w:t>
            </w:r>
          </w:p>
        </w:tc>
      </w:tr>
      <w:tr>
        <w:tc>
          <w:tcPr>
            <w:tcW w:type="dxa" w:w="4968"/>
            <w:vAlign w:val="center"/>
          </w:tcPr>
          <w:p>
            <w:pPr>
              <w:spacing w:after="40"/>
            </w:pPr>
            <w:r/>
            <w:r>
              <w:rPr>
                <w:rFonts w:ascii="Aptos" w:hAnsi="Aptos"/>
                <w:b/>
                <w:color w:val="2B3341"/>
                <w:sz w:val="18"/>
              </w:rPr>
              <w:t>Historical forecast coverage gaps</w:t>
            </w:r>
          </w:p>
        </w:tc>
        <w:tc>
          <w:tcPr>
            <w:tcW w:type="dxa" w:w="4968"/>
            <w:vAlign w:val="center"/>
          </w:tcPr>
          <w:p>
            <w:pPr>
              <w:spacing w:after="40"/>
            </w:pPr>
            <w:r/>
            <w:r>
              <w:rPr>
                <w:rFonts w:ascii="Aptos" w:hAnsi="Aptos"/>
                <w:b w:val="0"/>
                <w:color w:val="2B3341"/>
                <w:sz w:val="18"/>
              </w:rPr>
              <w:t>Report the actual coverage and unmatched intervals; do not fill gaps with synthetic values.</w:t>
            </w:r>
          </w:p>
        </w:tc>
      </w:tr>
      <w:tr>
        <w:tc>
          <w:tcPr>
            <w:tcW w:type="dxa" w:w="4968"/>
            <w:vAlign w:val="center"/>
          </w:tcPr>
          <w:p>
            <w:pPr>
              <w:spacing w:after="40"/>
            </w:pPr>
            <w:r/>
            <w:r>
              <w:rPr>
                <w:rFonts w:ascii="Aptos" w:hAnsi="Aptos"/>
                <w:b/>
                <w:color w:val="2B3341"/>
                <w:sz w:val="18"/>
              </w:rPr>
              <w:t>Time zones and daylight saving</w:t>
            </w:r>
          </w:p>
        </w:tc>
        <w:tc>
          <w:tcPr>
            <w:tcW w:type="dxa" w:w="4968"/>
            <w:vAlign w:val="center"/>
          </w:tcPr>
          <w:p>
            <w:pPr>
              <w:spacing w:after="40"/>
            </w:pPr>
            <w:r/>
            <w:r>
              <w:rPr>
                <w:rFonts w:ascii="Aptos" w:hAnsi="Aptos"/>
                <w:b w:val="0"/>
                <w:color w:val="2B3341"/>
                <w:sz w:val="18"/>
              </w:rPr>
              <w:t>Use timezone-aware timestamps and test UTC/British local-time conversion around DST boundaries.</w:t>
            </w:r>
          </w:p>
        </w:tc>
      </w:tr>
      <w:tr>
        <w:tc>
          <w:tcPr>
            <w:tcW w:type="dxa" w:w="4968"/>
            <w:vAlign w:val="center"/>
          </w:tcPr>
          <w:p>
            <w:pPr>
              <w:spacing w:after="40"/>
            </w:pPr>
            <w:r/>
            <w:r>
              <w:rPr>
                <w:rFonts w:ascii="Aptos" w:hAnsi="Aptos"/>
                <w:b/>
                <w:color w:val="2B3341"/>
                <w:sz w:val="18"/>
              </w:rPr>
              <w:t>Hosting configuration</w:t>
            </w:r>
          </w:p>
        </w:tc>
        <w:tc>
          <w:tcPr>
            <w:tcW w:type="dxa" w:w="4968"/>
            <w:vAlign w:val="center"/>
          </w:tcPr>
          <w:p>
            <w:pPr>
              <w:spacing w:after="40"/>
            </w:pPr>
            <w:r/>
            <w:r>
              <w:rPr>
                <w:rFonts w:ascii="Aptos" w:hAnsi="Aptos"/>
                <w:b w:val="0"/>
                <w:color w:val="2B3341"/>
                <w:sz w:val="18"/>
              </w:rPr>
              <w:t>Test backend and frontend separately before integrating production URLs; configure CORS and environment variables explicitly.</w:t>
            </w:r>
          </w:p>
        </w:tc>
      </w:tr>
      <w:tr>
        <w:tc>
          <w:tcPr>
            <w:tcW w:type="dxa" w:w="4968"/>
            <w:vAlign w:val="center"/>
          </w:tcPr>
          <w:p>
            <w:pPr>
              <w:spacing w:after="40"/>
            </w:pPr>
            <w:r/>
            <w:r>
              <w:rPr>
                <w:rFonts w:ascii="Aptos" w:hAnsi="Aptos"/>
                <w:b/>
                <w:color w:val="2B3341"/>
                <w:sz w:val="18"/>
              </w:rPr>
              <w:t>Time overrun</w:t>
            </w:r>
          </w:p>
        </w:tc>
        <w:tc>
          <w:tcPr>
            <w:tcW w:type="dxa" w:w="4968"/>
            <w:vAlign w:val="center"/>
          </w:tcPr>
          <w:p>
            <w:pPr>
              <w:spacing w:after="40"/>
            </w:pPr>
            <w:r/>
            <w:r>
              <w:rPr>
                <w:rFonts w:ascii="Aptos" w:hAnsi="Aptos"/>
                <w:b w:val="0"/>
                <w:color w:val="2B3341"/>
                <w:sz w:val="18"/>
              </w:rPr>
              <w:t>Deliver correctness, core charts, tests, README, deployment and video before adding optional design flourishes.</w:t>
            </w:r>
          </w:p>
        </w:tc>
      </w:tr>
    </w:tbl>
    <w:p>
      <w:pPr>
        <w:pStyle w:val="Heading1"/>
      </w:pPr>
      <w:r>
        <w:t>14. Official References</w:t>
      </w:r>
    </w:p>
    <w:p>
      <w:pPr>
        <w:pStyle w:val="ListBullet"/>
      </w:pPr>
      <w:r>
        <w:rPr>
          <w:b/>
        </w:rPr>
        <w:t xml:space="preserve">Antigravity getting started: </w:t>
      </w:r>
      <w:r>
        <w:t>https://www.antigravity.google/docs/getting-started</w:t>
      </w:r>
    </w:p>
    <w:p>
      <w:pPr>
        <w:pStyle w:val="ListBullet"/>
      </w:pPr>
      <w:r>
        <w:rPr>
          <w:b/>
        </w:rPr>
        <w:t xml:space="preserve">Elexon FUELHH API documentation: </w:t>
      </w:r>
      <w:r>
        <w:t>https://bmrs.elexon.co.uk/api-documentation/endpoint/datasets/FUELHH/stream</w:t>
      </w:r>
    </w:p>
    <w:p>
      <w:pPr>
        <w:pStyle w:val="ListBullet"/>
      </w:pPr>
      <w:r>
        <w:rPr>
          <w:b/>
        </w:rPr>
        <w:t xml:space="preserve">Elexon WINDFOR API documentation: </w:t>
      </w:r>
      <w:r>
        <w:t>https://bmrs.elexon.co.uk/api-documentation/endpoint/datasets/WINDFOR/stream</w:t>
      </w:r>
    </w:p>
    <w:p>
      <w:pPr>
        <w:pStyle w:val="ListBullet"/>
      </w:pPr>
      <w:r>
        <w:rPr>
          <w:b/>
        </w:rPr>
        <w:t xml:space="preserve">Vercel: </w:t>
      </w:r>
      <w:r>
        <w:t>https://vercel.com/</w:t>
      </w:r>
    </w:p>
    <w:p>
      <w:pPr>
        <w:pStyle w:val="ListBullet"/>
      </w:pPr>
      <w:r>
        <w:rPr>
          <w:b/>
        </w:rPr>
        <w:t xml:space="preserve">Render: </w:t>
      </w:r>
      <w:r>
        <w:t>https://render.com/</w:t>
      </w:r>
    </w:p>
    <w:p>
      <w:pPr>
        <w:pStyle w:val="ListBullet"/>
      </w:pPr>
      <w:r>
        <w:rPr>
          <w:b/>
        </w:rPr>
        <w:t xml:space="preserve">Docker: </w:t>
      </w:r>
      <w:r>
        <w:t>https://www.docker.com/products/docker-desktop/</w:t>
      </w:r>
    </w:p>
    <w:p>
      <w:pPr>
        <w:pStyle w:val="ListBullet"/>
      </w:pPr>
      <w:r>
        <w:rPr>
          <w:b/>
        </w:rPr>
        <w:t xml:space="preserve">GitHub: </w:t>
      </w:r>
      <w:r>
        <w:t>https://github.com/</w:t>
      </w:r>
    </w:p>
    <w:p/>
    <w:p>
      <w:pPr>
        <w:jc w:val="center"/>
      </w:pPr>
      <w:r>
        <w:rPr>
          <w:b/>
          <w:color w:val="176B87"/>
        </w:rPr>
        <w:t>End of guide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planning and execution guide  •  Prepared 27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C7D"/>
        <w:sz w:val="16"/>
      </w:rPr>
      <w:t>GRIDBRICKS  |  FULL STACK SWE CHALLENGE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33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