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7A8699"/>
          <w:spacing w:val="60"/>
          <w:sz w:val="22"/>
          <w:szCs w:val="22"/>
        </w:rPr>
        <w:t xml:space="preserve">MINOR PROJECT REPORT</w:t>
      </w:r>
    </w:p>
    <w:p>
      <w:pPr>
        <w:spacing w:after="160"/>
        <w:jc w:val="center"/>
      </w:pPr>
      <w:r>
        <w:rPr>
          <w:b/>
          <w:bCs/>
          <w:color w:val="1F3A5F"/>
          <w:sz w:val="52"/>
          <w:szCs w:val="52"/>
        </w:rPr>
        <w:t xml:space="preserve">Breast Cancer Prediction Using Machine Learning</w:t>
      </w:r>
    </w:p>
    <w:p>
      <w:pPr>
        <w:pBdr>
          <w:bottom w:val="single" w:color="1F3A5F" w:sz="8" w:space="12"/>
        </w:pBdr>
        <w:spacing w:after="700"/>
        <w:jc w:val="center"/>
      </w:pPr>
      <w:r>
        <w:rPr>
          <w:color w:val="444444"/>
          <w:sz w:val="26"/>
          <w:szCs w:val="26"/>
        </w:rPr>
        <w:t xml:space="preserve">Binary classification of tumours as benign or malignant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Field</w:t>
            </w:r>
          </w:p>
        </w:tc>
        <w:tc>
          <w:tcPr>
            <w:tcW w:type="dxa" w:w="67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Details</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Submitted by</w:t>
            </w:r>
          </w:p>
        </w:tc>
        <w:tc>
          <w:tcPr>
            <w:tcW w:type="dxa" w:w="6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Priyanshu Dash</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Roll Number</w:t>
            </w:r>
          </w:p>
        </w:tc>
        <w:tc>
          <w:tcPr>
            <w:tcW w:type="dxa" w:w="67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AIML-A6/JN-10471</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Branch / Year</w:t>
            </w:r>
          </w:p>
        </w:tc>
        <w:tc>
          <w:tcPr>
            <w:tcW w:type="dxa" w:w="6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Computer Science &amp; Engineering, 4th Year</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Institute</w:t>
            </w:r>
          </w:p>
        </w:tc>
        <w:tc>
          <w:tcPr>
            <w:tcW w:type="dxa" w:w="67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Kalinga Institute of Industrial Technology (KIIT), Bhubaneswar, Odisha</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Program</w:t>
            </w:r>
          </w:p>
        </w:tc>
        <w:tc>
          <w:tcPr>
            <w:tcW w:type="dxa" w:w="6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Machine Learning Internship, InternsElite</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Project Guide</w:t>
            </w:r>
          </w:p>
        </w:tc>
        <w:tc>
          <w:tcPr>
            <w:tcW w:type="dxa" w:w="67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Abhishek Pandey</w:t>
            </w:r>
          </w:p>
        </w:tc>
      </w:tr>
    </w:tbl>
    <w:p>
      <w:r>
        <w:br w:type="page"/>
      </w:r>
    </w:p>
    <w:p>
      <w:pPr>
        <w:pStyle w:val="Heading1"/>
        <w:pBdr>
          <w:bottom w:val="single" w:color="1F3A5F" w:sz="6" w:space="2"/>
        </w:pBdr>
        <w:spacing w:after="140" w:before="320"/>
      </w:pPr>
      <w:r>
        <w:rPr>
          <w:b/>
          <w:bCs/>
          <w:color w:val="1F3A5F"/>
          <w:sz w:val="30"/>
          <w:szCs w:val="30"/>
        </w:rPr>
        <w:t xml:space="preserve">1. Objective</w:t>
      </w:r>
    </w:p>
    <w:p>
      <w:pPr>
        <w:spacing w:after="120" w:line="300"/>
      </w:pPr>
      <w:r>
        <w:rPr>
          <w:sz w:val="22"/>
          <w:szCs w:val="22"/>
        </w:rPr>
        <w:t xml:space="preserve">This project builds a classification model that predicts whether a breast tumour is benign or malignant from measurements of cell nuclei taken from a digitised image of a fine needle aspirate. Four algorithms are compared, the effect of feature scaling is tested, and the best model is evaluated on unseen data.</w:t>
      </w:r>
    </w:p>
    <w:p>
      <w:pPr>
        <w:pStyle w:val="Heading1"/>
        <w:pBdr>
          <w:bottom w:val="single" w:color="1F3A5F" w:sz="6" w:space="2"/>
        </w:pBdr>
        <w:spacing w:after="140" w:before="320"/>
      </w:pPr>
      <w:r>
        <w:rPr>
          <w:b/>
          <w:bCs/>
          <w:color w:val="1F3A5F"/>
          <w:sz w:val="30"/>
          <w:szCs w:val="30"/>
        </w:rPr>
        <w:t xml:space="preserve">2. Dataset</w:t>
      </w:r>
    </w:p>
    <w:p>
      <w:pPr>
        <w:spacing w:after="120" w:line="300"/>
      </w:pPr>
      <w:r>
        <w:rPr>
          <w:sz w:val="22"/>
          <w:szCs w:val="22"/>
        </w:rPr>
        <w:t xml:space="preserve">The dataset has 569 patient records. The original file has 33 columns: an ID, the diagnosis label, 30 numeric features and one empty column (Unnamed: 32) that was dropped. After setting ID as the index there are 30 predictor features and 1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Item</w:t>
            </w:r>
          </w:p>
        </w:tc>
        <w:tc>
          <w:tcPr>
            <w:tcW w:type="dxa" w:w="69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Details</w:t>
            </w:r>
          </w:p>
        </w:tc>
      </w:tr>
      <w:tr>
        <w:tc>
          <w:tcPr>
            <w:tcW w:type="dxa" w:w="2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Records</w:t>
            </w:r>
          </w:p>
        </w:tc>
        <w:tc>
          <w:tcPr>
            <w:tcW w:type="dxa" w:w="69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569</w:t>
            </w:r>
          </w:p>
        </w:tc>
      </w:tr>
      <w:tr>
        <w:tc>
          <w:tcPr>
            <w:tcW w:type="dxa" w:w="24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Target</w:t>
            </w:r>
          </w:p>
        </w:tc>
        <w:tc>
          <w:tcPr>
            <w:tcW w:type="dxa" w:w="69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diagnosis (B = Benign, M = Malignant)</w:t>
            </w:r>
          </w:p>
        </w:tc>
      </w:tr>
      <w:tr>
        <w:tc>
          <w:tcPr>
            <w:tcW w:type="dxa" w:w="2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Features</w:t>
            </w:r>
          </w:p>
        </w:tc>
        <w:tc>
          <w:tcPr>
            <w:tcW w:type="dxa" w:w="69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30 numeric features</w:t>
            </w:r>
          </w:p>
        </w:tc>
      </w:tr>
      <w:tr>
        <w:tc>
          <w:tcPr>
            <w:tcW w:type="dxa" w:w="24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Feature groups</w:t>
            </w:r>
          </w:p>
        </w:tc>
        <w:tc>
          <w:tcPr>
            <w:tcW w:type="dxa" w:w="69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10 measurements each as mean, standard error and worst value: radius, texture, perimeter, area, smoothness, compactness, concavity, concave points, symmetry, fractal dimension</w:t>
            </w:r>
          </w:p>
        </w:tc>
      </w:tr>
      <w:tr>
        <w:tc>
          <w:tcPr>
            <w:tcW w:type="dxa" w:w="2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Missing values</w:t>
            </w:r>
          </w:p>
        </w:tc>
        <w:tc>
          <w:tcPr>
            <w:tcW w:type="dxa" w:w="69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None in the 30 features (the empty Unnamed: 32 column was removed)</w:t>
            </w:r>
          </w:p>
        </w:tc>
      </w:tr>
    </w:tbl>
    <w:p>
      <w:pPr>
        <w:spacing w:after="120"/>
      </w:pPr>
    </w:p>
    <w:p>
      <w:pPr>
        <w:pStyle w:val="Heading2"/>
        <w:spacing w:after="100" w:before="200"/>
      </w:pPr>
      <w:r>
        <w:rPr>
          <w:b/>
          <w:bCs/>
          <w:color w:val="1F3A5F"/>
          <w:sz w:val="24"/>
          <w:szCs w:val="24"/>
        </w:rPr>
        <w:t xml:space="preserve">Class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Class</w:t>
            </w:r>
          </w:p>
        </w:tc>
        <w:tc>
          <w:tcPr>
            <w:tcW w:type="dxa" w:w="20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Label used</w:t>
            </w:r>
          </w:p>
        </w:tc>
        <w:tc>
          <w:tcPr>
            <w:tcW w:type="dxa" w:w="20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Records</w:t>
            </w:r>
          </w:p>
        </w:tc>
        <w:tc>
          <w:tcPr>
            <w:tcW w:type="dxa" w:w="27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Share</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Benign (B)</w:t>
            </w:r>
          </w:p>
        </w:tc>
        <w:tc>
          <w:tcPr>
            <w:tcW w:type="dxa" w:w="2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w:t>
            </w:r>
          </w:p>
        </w:tc>
        <w:tc>
          <w:tcPr>
            <w:tcW w:type="dxa" w:w="2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357</w:t>
            </w:r>
          </w:p>
        </w:tc>
        <w:tc>
          <w:tcPr>
            <w:tcW w:type="dxa" w:w="2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62.7%</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Malignant (M)</w:t>
            </w:r>
          </w:p>
        </w:tc>
        <w:tc>
          <w:tcPr>
            <w:tcW w:type="dxa" w:w="2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1</w:t>
            </w:r>
          </w:p>
        </w:tc>
        <w:tc>
          <w:tcPr>
            <w:tcW w:type="dxa" w:w="2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212</w:t>
            </w:r>
          </w:p>
        </w:tc>
        <w:tc>
          <w:tcPr>
            <w:tcW w:type="dxa" w:w="27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37.3%</w:t>
            </w:r>
          </w:p>
        </w:tc>
      </w:tr>
    </w:tbl>
    <w:p>
      <w:pPr>
        <w:spacing w:after="120"/>
      </w:pPr>
    </w:p>
    <w:p>
      <w:pPr>
        <w:pStyle w:val="Heading1"/>
        <w:pBdr>
          <w:bottom w:val="single" w:color="1F3A5F" w:sz="6" w:space="2"/>
        </w:pBdr>
        <w:spacing w:after="140" w:before="320"/>
      </w:pPr>
      <w:r>
        <w:rPr>
          <w:b/>
          <w:bCs/>
          <w:color w:val="1F3A5F"/>
          <w:sz w:val="30"/>
          <w:szCs w:val="30"/>
        </w:rPr>
        <w:t xml:space="preserve">3. Data Preprocessing and Exploration</w:t>
      </w:r>
    </w:p>
    <w:p>
      <w:pPr>
        <w:pStyle w:val="ListParagraph"/>
        <w:numPr>
          <w:ilvl w:val="0"/>
          <w:numId w:val="2"/>
        </w:numPr>
        <w:spacing w:after="80" w:line="290"/>
      </w:pPr>
      <w:r>
        <w:rPr>
          <w:b/>
          <w:bCs/>
          <w:sz w:val="22"/>
          <w:szCs w:val="22"/>
        </w:rPr>
        <w:t xml:space="preserve">Cleaning:</w:t>
      </w:r>
      <w:r>
        <w:rPr>
          <w:sz w:val="22"/>
          <w:szCs w:val="22"/>
        </w:rPr>
        <w:t xml:space="preserve"> The empty Unnamed: 32 column was deleted and id was set as the index so it is not used as a feature.</w:t>
      </w:r>
    </w:p>
    <w:p>
      <w:pPr>
        <w:pStyle w:val="ListParagraph"/>
        <w:numPr>
          <w:ilvl w:val="0"/>
          <w:numId w:val="2"/>
        </w:numPr>
        <w:spacing w:after="80" w:line="290"/>
      </w:pPr>
      <w:r>
        <w:rPr>
          <w:b/>
          <w:bCs/>
          <w:sz w:val="22"/>
          <w:szCs w:val="22"/>
        </w:rPr>
        <w:t xml:space="preserve">Label encoding:</w:t>
      </w:r>
      <w:r>
        <w:rPr>
          <w:sz w:val="22"/>
          <w:szCs w:val="22"/>
        </w:rPr>
        <w:t xml:space="preserve"> The diagnosis column was mapped to numbers: B = 0 and M = 1.</w:t>
      </w:r>
    </w:p>
    <w:p>
      <w:pPr>
        <w:pStyle w:val="ListParagraph"/>
        <w:numPr>
          <w:ilvl w:val="0"/>
          <w:numId w:val="2"/>
        </w:numPr>
        <w:spacing w:after="80" w:line="290"/>
      </w:pPr>
      <w:r>
        <w:rPr>
          <w:b/>
          <w:bCs/>
          <w:sz w:val="22"/>
          <w:szCs w:val="22"/>
        </w:rPr>
        <w:t xml:space="preserve">Visualisation:</w:t>
      </w:r>
      <w:r>
        <w:rPr>
          <w:sz w:val="22"/>
          <w:szCs w:val="22"/>
        </w:rPr>
        <w:t xml:space="preserve"> Histogram of the diagnosis classes, density plots of all 31 numeric variables, and a correlation heatmap of the attributes.</w:t>
      </w:r>
    </w:p>
    <w:p>
      <w:pPr>
        <w:keepNext/>
        <w:spacing w:after="60" w:before="120"/>
        <w:jc w:val="center"/>
      </w:pPr>
      <w:r>
        <w:drawing>
          <wp:inline distT="0" distB="0" distL="0" distR="0">
            <wp:extent cx="3238500" cy="2552700"/>
            <wp:effectExtent t="0" r="0" b="0" l="0"/>
            <wp:docPr id="1" name="Figure 1: Diagnosis class distribution (0 = benign, 1 = malignant)" descr="Figure 1: Diagnosis class distribution (0 = benign, 1 = malignant)" title="Figure 1: Diagnosis class distribution (0 = benign, 1 = malig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552700"/>
                    </a:xfrm>
                    <a:prstGeom prst="rect">
                      <a:avLst/>
                    </a:prstGeom>
                  </pic:spPr>
                </pic:pic>
              </a:graphicData>
            </a:graphic>
          </wp:inline>
        </w:drawing>
      </w:r>
    </w:p>
    <w:p>
      <w:pPr>
        <w:spacing w:after="200"/>
        <w:jc w:val="center"/>
      </w:pPr>
      <w:r>
        <w:rPr>
          <w:i/>
          <w:iCs/>
          <w:color w:val="555555"/>
          <w:sz w:val="19"/>
          <w:szCs w:val="19"/>
        </w:rPr>
        <w:t xml:space="preserve">Figure 1: Diagnosis class distribution (0 = benign, 1 = malignant)</w:t>
      </w:r>
    </w:p>
    <w:p>
      <w:pPr>
        <w:keepNext/>
        <w:spacing w:after="60" w:before="120"/>
        <w:jc w:val="center"/>
      </w:pPr>
      <w:r>
        <w:drawing>
          <wp:inline distT="0" distB="0" distL="0" distR="0">
            <wp:extent cx="3810000" cy="2781300"/>
            <wp:effectExtent t="0" r="0" b="0" l="0"/>
            <wp:docPr id="1" name="Figure 2: Density plots of all numeric attributes" descr="Figure 2: Density plots of all numeric attributes" title="Figure 2: Density plots of all numeric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781300"/>
                    </a:xfrm>
                    <a:prstGeom prst="rect">
                      <a:avLst/>
                    </a:prstGeom>
                  </pic:spPr>
                </pic:pic>
              </a:graphicData>
            </a:graphic>
          </wp:inline>
        </w:drawing>
      </w:r>
    </w:p>
    <w:p>
      <w:pPr>
        <w:spacing w:after="200"/>
        <w:jc w:val="center"/>
      </w:pPr>
      <w:r>
        <w:rPr>
          <w:i/>
          <w:iCs/>
          <w:color w:val="555555"/>
          <w:sz w:val="19"/>
          <w:szCs w:val="19"/>
        </w:rPr>
        <w:t xml:space="preserve">Figure 2: Density plots of all numeric attributes</w:t>
      </w:r>
    </w:p>
    <w:p>
      <w:pPr>
        <w:spacing w:after="120" w:line="300"/>
      </w:pPr>
      <w:r>
        <w:rPr>
          <w:sz w:val="22"/>
          <w:szCs w:val="22"/>
        </w:rPr>
        <w:t xml:space="preserve">Most features are right-skewed and several are on very different scales: area values run into the thousands while smoothness values are below 0.2. This is why feature scaling is tested later.</w:t>
      </w:r>
    </w:p>
    <w:p>
      <w:pPr>
        <w:keepNext/>
        <w:spacing w:after="60" w:before="120"/>
        <w:jc w:val="center"/>
      </w:pPr>
      <w:r>
        <w:drawing>
          <wp:inline distT="0" distB="0" distL="0" distR="0">
            <wp:extent cx="3143250" cy="2733675"/>
            <wp:effectExtent t="0" r="0" b="0" l="0"/>
            <wp:docPr id="1" name="Figure 3: Correlation heatmap of the attributes" descr="Figure 3: Correlation heatmap of the attributes" title="Figure 3: Correlation heatmap of the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2733675"/>
                    </a:xfrm>
                    <a:prstGeom prst="rect">
                      <a:avLst/>
                    </a:prstGeom>
                  </pic:spPr>
                </pic:pic>
              </a:graphicData>
            </a:graphic>
          </wp:inline>
        </w:drawing>
      </w:r>
    </w:p>
    <w:p>
      <w:pPr>
        <w:spacing w:after="200"/>
        <w:jc w:val="center"/>
      </w:pPr>
      <w:r>
        <w:rPr>
          <w:i/>
          <w:iCs/>
          <w:color w:val="555555"/>
          <w:sz w:val="19"/>
          <w:szCs w:val="19"/>
        </w:rPr>
        <w:t xml:space="preserve">Figure 3: Correlation heatmap of the attributes</w:t>
      </w:r>
    </w:p>
    <w:p>
      <w:pPr>
        <w:pStyle w:val="Heading1"/>
        <w:pBdr>
          <w:bottom w:val="single" w:color="1F3A5F" w:sz="6" w:space="2"/>
        </w:pBdr>
        <w:spacing w:after="140" w:before="320"/>
      </w:pPr>
      <w:r>
        <w:rPr>
          <w:b/>
          <w:bCs/>
          <w:color w:val="1F3A5F"/>
          <w:sz w:val="30"/>
          <w:szCs w:val="30"/>
        </w:rPr>
        <w:t xml:space="preserve">4. Methodology</w:t>
      </w:r>
    </w:p>
    <w:p>
      <w:pPr>
        <w:pStyle w:val="Heading2"/>
        <w:spacing w:after="100" w:before="200"/>
      </w:pPr>
      <w:r>
        <w:rPr>
          <w:b/>
          <w:bCs/>
          <w:color w:val="1F3A5F"/>
          <w:sz w:val="24"/>
          <w:szCs w:val="24"/>
        </w:rPr>
        <w:t xml:space="preserve">Train-test split</w:t>
      </w:r>
    </w:p>
    <w:p>
      <w:pPr>
        <w:spacing w:after="120" w:line="300"/>
      </w:pPr>
      <w:r>
        <w:rPr>
          <w:sz w:val="22"/>
          <w:szCs w:val="22"/>
        </w:rPr>
        <w:t xml:space="preserve">The data was split with 33% held out for testing (random_state = 21), giving 381 training records and 188 test records.</w:t>
      </w:r>
    </w:p>
    <w:p>
      <w:pPr>
        <w:pStyle w:val="Heading2"/>
        <w:spacing w:after="100" w:before="200"/>
      </w:pPr>
      <w:r>
        <w:rPr>
          <w:b/>
          <w:bCs/>
          <w:color w:val="1F3A5F"/>
          <w:sz w:val="24"/>
          <w:szCs w:val="24"/>
        </w:rPr>
        <w:t xml:space="preserve">Models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Algorithm</w:t>
            </w:r>
          </w:p>
        </w:tc>
        <w:tc>
          <w:tcPr>
            <w:tcW w:type="dxa" w:w="20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Abbreviation</w:t>
            </w:r>
          </w:p>
        </w:tc>
        <w:tc>
          <w:tcPr>
            <w:tcW w:type="dxa" w:w="35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Type</w:t>
            </w:r>
          </w:p>
        </w:tc>
      </w:tr>
      <w:tr>
        <w:tc>
          <w:tcPr>
            <w:tcW w:type="dxa" w:w="38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Classification and Regression Trees</w:t>
            </w:r>
          </w:p>
        </w:tc>
        <w:tc>
          <w:tcPr>
            <w:tcW w:type="dxa" w:w="2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CART</w:t>
            </w:r>
          </w:p>
        </w:tc>
        <w:tc>
          <w:tcPr>
            <w:tcW w:type="dxa" w:w="35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Decision tree</w:t>
            </w:r>
          </w:p>
        </w:tc>
      </w:tr>
      <w:tr>
        <w:tc>
          <w:tcPr>
            <w:tcW w:type="dxa" w:w="38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Support Vector Machine</w:t>
            </w:r>
          </w:p>
        </w:tc>
        <w:tc>
          <w:tcPr>
            <w:tcW w:type="dxa" w:w="2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SVM</w:t>
            </w:r>
          </w:p>
        </w:tc>
        <w:tc>
          <w:tcPr>
            <w:tcW w:type="dxa" w:w="35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Kernel-based (default RBF kernel)</w:t>
            </w:r>
          </w:p>
        </w:tc>
      </w:tr>
      <w:tr>
        <w:tc>
          <w:tcPr>
            <w:tcW w:type="dxa" w:w="38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Gaussian Naive Bayes</w:t>
            </w:r>
          </w:p>
        </w:tc>
        <w:tc>
          <w:tcPr>
            <w:tcW w:type="dxa" w:w="2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NB</w:t>
            </w:r>
          </w:p>
        </w:tc>
        <w:tc>
          <w:tcPr>
            <w:tcW w:type="dxa" w:w="35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Probabilistic</w:t>
            </w:r>
          </w:p>
        </w:tc>
      </w:tr>
      <w:tr>
        <w:tc>
          <w:tcPr>
            <w:tcW w:type="dxa" w:w="38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k-Nearest Neighbours</w:t>
            </w:r>
          </w:p>
        </w:tc>
        <w:tc>
          <w:tcPr>
            <w:tcW w:type="dxa" w:w="2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KNN</w:t>
            </w:r>
          </w:p>
        </w:tc>
        <w:tc>
          <w:tcPr>
            <w:tcW w:type="dxa" w:w="35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Distance-based (k = 5)</w:t>
            </w:r>
          </w:p>
        </w:tc>
      </w:tr>
    </w:tbl>
    <w:p>
      <w:pPr>
        <w:spacing w:after="120"/>
      </w:pPr>
    </w:p>
    <w:p>
      <w:pPr>
        <w:pStyle w:val="Heading2"/>
        <w:spacing w:after="100" w:before="200"/>
      </w:pPr>
      <w:r>
        <w:rPr>
          <w:b/>
          <w:bCs/>
          <w:color w:val="1F3A5F"/>
          <w:sz w:val="24"/>
          <w:szCs w:val="24"/>
        </w:rPr>
        <w:t xml:space="preserve">Evaluation approach</w:t>
      </w:r>
    </w:p>
    <w:p>
      <w:pPr>
        <w:spacing w:after="120" w:line="300"/>
      </w:pPr>
      <w:r>
        <w:rPr>
          <w:sz w:val="22"/>
          <w:szCs w:val="22"/>
        </w:rPr>
        <w:t xml:space="preserve">Each model was scored with 10-fold cross-validation on the training set (shuffled, random_state = 123), using accuracy. The four models were first run on the raw features and then again inside a pipeline that applies StandardScaler before the classifier, so that scaling is fitted only on each training fold. The best model was then trained on the full training set and evaluated once on the held-out test set.</w:t>
      </w:r>
    </w:p>
    <w:p>
      <w:pPr>
        <w:pStyle w:val="Heading1"/>
        <w:pBdr>
          <w:bottom w:val="single" w:color="1F3A5F" w:sz="6" w:space="2"/>
        </w:pBdr>
        <w:spacing w:after="140" w:before="320"/>
      </w:pPr>
      <w:r>
        <w:rPr>
          <w:b/>
          <w:bCs/>
          <w:color w:val="1F3A5F"/>
          <w:sz w:val="30"/>
          <w:szCs w:val="30"/>
        </w:rPr>
        <w:t xml:space="preserve">5. Results</w:t>
      </w:r>
    </w:p>
    <w:p>
      <w:pPr>
        <w:pStyle w:val="Heading2"/>
        <w:spacing w:after="100" w:before="200"/>
      </w:pPr>
      <w:r>
        <w:rPr>
          <w:b/>
          <w:bCs/>
          <w:color w:val="1F3A5F"/>
          <w:sz w:val="24"/>
          <w:szCs w:val="24"/>
        </w:rPr>
        <w:t xml:space="preserve">Cross-validation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400"/>
        <w:gridCol w:w="2100"/>
        <w:gridCol w:w="2160"/>
      </w:tblGrid>
      <w:tr>
        <w:trPr>
          <w:tblHeader/>
        </w:trPr>
        <w:tc>
          <w:tcPr>
            <w:tcW w:type="dxa" w:w="16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Model</w:t>
            </w:r>
          </w:p>
        </w:tc>
        <w:tc>
          <w:tcPr>
            <w:tcW w:type="dxa" w:w="21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Unscaled Accuracy</w:t>
            </w:r>
          </w:p>
        </w:tc>
        <w:tc>
          <w:tcPr>
            <w:tcW w:type="dxa" w:w="14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Std Dev</w:t>
            </w:r>
          </w:p>
        </w:tc>
        <w:tc>
          <w:tcPr>
            <w:tcW w:type="dxa" w:w="21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Scaled Accuracy</w:t>
            </w:r>
          </w:p>
        </w:tc>
        <w:tc>
          <w:tcPr>
            <w:tcW w:type="dxa" w:w="21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Std Dev</w:t>
            </w:r>
          </w:p>
        </w:tc>
      </w:tr>
      <w:tr>
        <w:tc>
          <w:tcPr>
            <w:tcW w:type="dxa" w:w="1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CART</w:t>
            </w:r>
          </w:p>
        </w:tc>
        <w:tc>
          <w:tcPr>
            <w:tcW w:type="dxa" w:w="21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90.55%</w:t>
            </w:r>
          </w:p>
        </w:tc>
        <w:tc>
          <w:tcPr>
            <w:tcW w:type="dxa" w:w="1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0.043</w:t>
            </w:r>
          </w:p>
        </w:tc>
        <w:tc>
          <w:tcPr>
            <w:tcW w:type="dxa" w:w="21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92.40%</w:t>
            </w:r>
          </w:p>
        </w:tc>
        <w:tc>
          <w:tcPr>
            <w:tcW w:type="dxa" w:w="21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0.030</w:t>
            </w:r>
          </w:p>
        </w:tc>
      </w:tr>
      <w:tr>
        <w:tc>
          <w:tcPr>
            <w:tcW w:type="dxa" w:w="1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SVM</w:t>
            </w:r>
          </w:p>
        </w:tc>
        <w:tc>
          <w:tcPr>
            <w:tcW w:type="dxa" w:w="21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92.13%</w:t>
            </w:r>
          </w:p>
        </w:tc>
        <w:tc>
          <w:tcPr>
            <w:tcW w:type="dxa" w:w="14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0.047</w:t>
            </w:r>
          </w:p>
        </w:tc>
        <w:tc>
          <w:tcPr>
            <w:tcW w:type="dxa" w:w="21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97.37%</w:t>
            </w:r>
          </w:p>
        </w:tc>
        <w:tc>
          <w:tcPr>
            <w:tcW w:type="dxa" w:w="21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0.026</w:t>
            </w:r>
          </w:p>
        </w:tc>
      </w:tr>
      <w:tr>
        <w:tc>
          <w:tcPr>
            <w:tcW w:type="dxa" w:w="1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NB</w:t>
            </w:r>
          </w:p>
        </w:tc>
        <w:tc>
          <w:tcPr>
            <w:tcW w:type="dxa" w:w="21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93.95%</w:t>
            </w:r>
          </w:p>
        </w:tc>
        <w:tc>
          <w:tcPr>
            <w:tcW w:type="dxa" w:w="1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0.044</w:t>
            </w:r>
          </w:p>
        </w:tc>
        <w:tc>
          <w:tcPr>
            <w:tcW w:type="dxa" w:w="21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92.89%</w:t>
            </w:r>
          </w:p>
        </w:tc>
        <w:tc>
          <w:tcPr>
            <w:tcW w:type="dxa" w:w="21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0.044</w:t>
            </w:r>
          </w:p>
        </w:tc>
      </w:tr>
      <w:tr>
        <w:tc>
          <w:tcPr>
            <w:tcW w:type="dxa" w:w="1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KNN</w:t>
            </w:r>
          </w:p>
        </w:tc>
        <w:tc>
          <w:tcPr>
            <w:tcW w:type="dxa" w:w="21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92.12%</w:t>
            </w:r>
          </w:p>
        </w:tc>
        <w:tc>
          <w:tcPr>
            <w:tcW w:type="dxa" w:w="14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0.041</w:t>
            </w:r>
          </w:p>
        </w:tc>
        <w:tc>
          <w:tcPr>
            <w:tcW w:type="dxa" w:w="21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95.53%</w:t>
            </w:r>
          </w:p>
        </w:tc>
        <w:tc>
          <w:tcPr>
            <w:tcW w:type="dxa" w:w="21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0.033</w:t>
            </w:r>
          </w:p>
        </w:tc>
      </w:tr>
    </w:tbl>
    <w:p>
      <w:pPr>
        <w:spacing w:after="120"/>
      </w:pPr>
    </w:p>
    <w:p>
      <w:pPr>
        <w:keepNext/>
        <w:spacing w:after="60" w:before="120"/>
        <w:jc w:val="center"/>
      </w:pPr>
      <w:r>
        <w:drawing>
          <wp:inline distT="0" distB="0" distL="0" distR="0">
            <wp:extent cx="3238500" cy="2638425"/>
            <wp:effectExtent t="0" r="0" b="0" l="0"/>
            <wp:docPr id="1" name="Figure 4: Model comparison before scaling (10-fold CV accuracy)" descr="Figure 4: Model comparison before scaling (10-fold CV accuracy)" title="Figure 4: Model comparison before scaling (10-fold CV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638425"/>
                    </a:xfrm>
                    <a:prstGeom prst="rect">
                      <a:avLst/>
                    </a:prstGeom>
                  </pic:spPr>
                </pic:pic>
              </a:graphicData>
            </a:graphic>
          </wp:inline>
        </w:drawing>
      </w:r>
    </w:p>
    <w:p>
      <w:pPr>
        <w:spacing w:after="200"/>
        <w:jc w:val="center"/>
      </w:pPr>
      <w:r>
        <w:rPr>
          <w:i/>
          <w:iCs/>
          <w:color w:val="555555"/>
          <w:sz w:val="19"/>
          <w:szCs w:val="19"/>
        </w:rPr>
        <w:t xml:space="preserve">Figure 4: Model comparison before scaling (10-fold CV accuracy)</w:t>
      </w:r>
    </w:p>
    <w:p>
      <w:pPr>
        <w:keepNext/>
        <w:spacing w:after="60" w:before="120"/>
        <w:jc w:val="center"/>
      </w:pPr>
      <w:r>
        <w:drawing>
          <wp:inline distT="0" distB="0" distL="0" distR="0">
            <wp:extent cx="3238500" cy="2638425"/>
            <wp:effectExtent t="0" r="0" b="0" l="0"/>
            <wp:docPr id="1" name="Figure 5: Model comparison after scaling (10-fold CV accuracy)" descr="Figure 5: Model comparison after scaling (10-fold CV accuracy)" title="Figure 5: Model comparison after scaling (10-fold CV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638425"/>
                    </a:xfrm>
                    <a:prstGeom prst="rect">
                      <a:avLst/>
                    </a:prstGeom>
                  </pic:spPr>
                </pic:pic>
              </a:graphicData>
            </a:graphic>
          </wp:inline>
        </w:drawing>
      </w:r>
    </w:p>
    <w:p>
      <w:pPr>
        <w:spacing w:after="200"/>
        <w:jc w:val="center"/>
      </w:pPr>
      <w:r>
        <w:rPr>
          <w:i/>
          <w:iCs/>
          <w:color w:val="555555"/>
          <w:sz w:val="19"/>
          <w:szCs w:val="19"/>
        </w:rPr>
        <w:t xml:space="preserve">Figure 5: Model comparison after scaling (10-fold CV accuracy)</w:t>
      </w:r>
    </w:p>
    <w:p>
      <w:pPr>
        <w:keepNext/>
        <w:spacing w:after="60" w:before="120"/>
        <w:jc w:val="center"/>
      </w:pPr>
      <w:r>
        <w:drawing>
          <wp:inline distT="0" distB="0" distL="0" distR="0">
            <wp:extent cx="4095750" cy="2105025"/>
            <wp:effectExtent t="0" r="0" b="0" l="0"/>
            <wp:docPr id="1" name="Figure 6: Accuracy before and after feature scaling" descr="Figure 6: Accuracy before and after feature scaling" title="Figure 6: Accuracy before and after feature 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105025"/>
                    </a:xfrm>
                    <a:prstGeom prst="rect">
                      <a:avLst/>
                    </a:prstGeom>
                  </pic:spPr>
                </pic:pic>
              </a:graphicData>
            </a:graphic>
          </wp:inline>
        </w:drawing>
      </w:r>
    </w:p>
    <w:p>
      <w:pPr>
        <w:spacing w:after="200"/>
        <w:jc w:val="center"/>
      </w:pPr>
      <w:r>
        <w:rPr>
          <w:i/>
          <w:iCs/>
          <w:color w:val="555555"/>
          <w:sz w:val="19"/>
          <w:szCs w:val="19"/>
        </w:rPr>
        <w:t xml:space="preserve">Figure 6: Accuracy before and after feature scaling</w:t>
      </w:r>
    </w:p>
    <w:p>
      <w:pPr>
        <w:spacing w:after="120" w:line="300"/>
      </w:pPr>
      <w:r>
        <w:rPr>
          <w:sz w:val="22"/>
          <w:szCs w:val="22"/>
        </w:rPr>
        <w:t xml:space="preserve">Scaling made the biggest difference to the distance and margin based models. SVM improved from 92.13% to 97.37% and KNN from 92.12% to 95.53%. Naive Bayes dipped slightly (93.95% to 92.89%). CART moved from 90.55% to 92.40%. Scaled SVM also has the lowest variation across folds (0.026), so it was chosen as the final model.</w:t>
      </w:r>
    </w:p>
    <w:p>
      <w:pPr>
        <w:pStyle w:val="Heading2"/>
        <w:spacing w:after="100" w:before="200"/>
      </w:pPr>
      <w:r>
        <w:rPr>
          <w:b/>
          <w:bCs/>
          <w:color w:val="1F3A5F"/>
          <w:sz w:val="24"/>
          <w:szCs w:val="24"/>
        </w:rPr>
        <w:t xml:space="preserve">Final model: scaled SVM on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Metric</w:t>
            </w:r>
          </w:p>
        </w:tc>
        <w:tc>
          <w:tcPr>
            <w:tcW w:type="dxa" w:w="468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Score</w:t>
            </w:r>
          </w:p>
        </w:tc>
      </w:tr>
      <w:tr>
        <w:tc>
          <w:tcPr>
            <w:tcW w:type="dxa" w:w="468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Accuracy</w:t>
            </w:r>
          </w:p>
        </w:tc>
        <w:tc>
          <w:tcPr>
            <w:tcW w:type="dxa" w:w="468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96.28%</w:t>
            </w:r>
          </w:p>
        </w:tc>
      </w:tr>
      <w:tr>
        <w:tc>
          <w:tcPr>
            <w:tcW w:type="dxa" w:w="468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Precision (malignant)</w:t>
            </w:r>
          </w:p>
        </w:tc>
        <w:tc>
          <w:tcPr>
            <w:tcW w:type="dxa" w:w="468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97.01%</w:t>
            </w:r>
          </w:p>
        </w:tc>
      </w:tr>
      <w:tr>
        <w:tc>
          <w:tcPr>
            <w:tcW w:type="dxa" w:w="468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Recall (malignant)</w:t>
            </w:r>
          </w:p>
        </w:tc>
        <w:tc>
          <w:tcPr>
            <w:tcW w:type="dxa" w:w="468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92.86%</w:t>
            </w:r>
          </w:p>
        </w:tc>
      </w:tr>
      <w:tr>
        <w:tc>
          <w:tcPr>
            <w:tcW w:type="dxa" w:w="468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F1 Score (malignant)</w:t>
            </w:r>
          </w:p>
        </w:tc>
        <w:tc>
          <w:tcPr>
            <w:tcW w:type="dxa" w:w="468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94.89%</w:t>
            </w:r>
          </w:p>
        </w:tc>
      </w:tr>
    </w:tbl>
    <w:p>
      <w:pPr>
        <w:spacing w:after="120"/>
      </w:pPr>
    </w:p>
    <w:p>
      <w:pPr>
        <w:keepNext/>
        <w:spacing w:after="60" w:before="120"/>
        <w:jc w:val="center"/>
      </w:pPr>
      <w:r>
        <w:drawing>
          <wp:inline distT="0" distB="0" distL="0" distR="0">
            <wp:extent cx="2571750" cy="2200275"/>
            <wp:effectExtent t="0" r="0" b="0" l="0"/>
            <wp:docPr id="1" name="Figure 7: Confusion matrix on the 188 test records" descr="Figure 7: Confusion matrix on the 188 test records" title="Figure 7: Confusion matrix on the 188 test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71750" cy="2200275"/>
                    </a:xfrm>
                    <a:prstGeom prst="rect">
                      <a:avLst/>
                    </a:prstGeom>
                  </pic:spPr>
                </pic:pic>
              </a:graphicData>
            </a:graphic>
          </wp:inline>
        </w:drawing>
      </w:r>
    </w:p>
    <w:p>
      <w:pPr>
        <w:spacing w:after="200"/>
        <w:jc w:val="center"/>
      </w:pPr>
      <w:r>
        <w:rPr>
          <w:i/>
          <w:iCs/>
          <w:color w:val="555555"/>
          <w:sz w:val="19"/>
          <w:szCs w:val="19"/>
        </w:rPr>
        <w:t xml:space="preserve">Figure 7: Confusion matrix on the 188 test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
            </w:r>
          </w:p>
        </w:tc>
        <w:tc>
          <w:tcPr>
            <w:tcW w:type="dxa" w:w="318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Predicted Benign</w:t>
            </w:r>
          </w:p>
        </w:tc>
        <w:tc>
          <w:tcPr>
            <w:tcW w:type="dxa" w:w="318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Predicted Malignant</w:t>
            </w:r>
          </w:p>
        </w:tc>
      </w:tr>
      <w:tr>
        <w:tc>
          <w:tcPr>
            <w:tcW w:type="dxa" w:w="3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Actual Benign (118)</w:t>
            </w:r>
          </w:p>
        </w:tc>
        <w:tc>
          <w:tcPr>
            <w:tcW w:type="dxa" w:w="318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116 (true negatives)</w:t>
            </w:r>
          </w:p>
        </w:tc>
        <w:tc>
          <w:tcPr>
            <w:tcW w:type="dxa" w:w="318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2 (false positives)</w:t>
            </w:r>
          </w:p>
        </w:tc>
      </w:tr>
      <w:tr>
        <w:tc>
          <w:tcPr>
            <w:tcW w:type="dxa" w:w="3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Actual Malignant (70)</w:t>
            </w:r>
          </w:p>
        </w:tc>
        <w:tc>
          <w:tcPr>
            <w:tcW w:type="dxa" w:w="318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5 (false negatives)</w:t>
            </w:r>
          </w:p>
        </w:tc>
        <w:tc>
          <w:tcPr>
            <w:tcW w:type="dxa" w:w="318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65 (true positives)</w:t>
            </w:r>
          </w:p>
        </w:tc>
      </w:tr>
    </w:tbl>
    <w:p>
      <w:pPr>
        <w:spacing w:after="120"/>
      </w:pPr>
    </w:p>
    <w:p>
      <w:pPr>
        <w:pStyle w:val="Heading2"/>
        <w:spacing w:after="100" w:before="200"/>
      </w:pPr>
      <w:r>
        <w:rPr>
          <w:b/>
          <w:bCs/>
          <w:color w:val="1F3A5F"/>
          <w:sz w:val="24"/>
          <w:szCs w:val="24"/>
        </w:rPr>
        <w:t xml:space="preserve">Classification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60"/>
      </w:tblGrid>
      <w:tr>
        <w:trPr>
          <w:tblHeader/>
        </w:trPr>
        <w:tc>
          <w:tcPr>
            <w:tcW w:type="dxa" w:w="26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Class</w:t>
            </w:r>
          </w:p>
        </w:tc>
        <w:tc>
          <w:tcPr>
            <w:tcW w:type="dxa" w:w="17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Precision</w:t>
            </w:r>
          </w:p>
        </w:tc>
        <w:tc>
          <w:tcPr>
            <w:tcW w:type="dxa" w:w="17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Recall</w:t>
            </w:r>
          </w:p>
        </w:tc>
        <w:tc>
          <w:tcPr>
            <w:tcW w:type="dxa" w:w="17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F1-score</w:t>
            </w:r>
          </w:p>
        </w:tc>
        <w:tc>
          <w:tcPr>
            <w:tcW w:type="dxa" w:w="16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Support</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Benign (0)</w:t>
            </w:r>
          </w:p>
        </w:tc>
        <w:tc>
          <w:tcPr>
            <w:tcW w:type="dxa" w:w="17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0.96</w:t>
            </w:r>
          </w:p>
        </w:tc>
        <w:tc>
          <w:tcPr>
            <w:tcW w:type="dxa" w:w="17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0.98</w:t>
            </w:r>
          </w:p>
        </w:tc>
        <w:tc>
          <w:tcPr>
            <w:tcW w:type="dxa" w:w="17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0.97</w:t>
            </w:r>
          </w:p>
        </w:tc>
        <w:tc>
          <w:tcPr>
            <w:tcW w:type="dxa" w:w="16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118</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Malignant (1)</w:t>
            </w:r>
          </w:p>
        </w:tc>
        <w:tc>
          <w:tcPr>
            <w:tcW w:type="dxa" w:w="17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0.97</w:t>
            </w:r>
          </w:p>
        </w:tc>
        <w:tc>
          <w:tcPr>
            <w:tcW w:type="dxa" w:w="17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0.93</w:t>
            </w:r>
          </w:p>
        </w:tc>
        <w:tc>
          <w:tcPr>
            <w:tcW w:type="dxa" w:w="17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0.95</w:t>
            </w:r>
          </w:p>
        </w:tc>
        <w:tc>
          <w:tcPr>
            <w:tcW w:type="dxa" w:w="16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70</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Macro average</w:t>
            </w:r>
          </w:p>
        </w:tc>
        <w:tc>
          <w:tcPr>
            <w:tcW w:type="dxa" w:w="17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0.96</w:t>
            </w:r>
          </w:p>
        </w:tc>
        <w:tc>
          <w:tcPr>
            <w:tcW w:type="dxa" w:w="17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0.96</w:t>
            </w:r>
          </w:p>
        </w:tc>
        <w:tc>
          <w:tcPr>
            <w:tcW w:type="dxa" w:w="17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0.96</w:t>
            </w:r>
          </w:p>
        </w:tc>
        <w:tc>
          <w:tcPr>
            <w:tcW w:type="dxa" w:w="16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188</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Weighted average</w:t>
            </w:r>
          </w:p>
        </w:tc>
        <w:tc>
          <w:tcPr>
            <w:tcW w:type="dxa" w:w="17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0.96</w:t>
            </w:r>
          </w:p>
        </w:tc>
        <w:tc>
          <w:tcPr>
            <w:tcW w:type="dxa" w:w="17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0.96</w:t>
            </w:r>
          </w:p>
        </w:tc>
        <w:tc>
          <w:tcPr>
            <w:tcW w:type="dxa" w:w="17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0.96</w:t>
            </w:r>
          </w:p>
        </w:tc>
        <w:tc>
          <w:tcPr>
            <w:tcW w:type="dxa" w:w="16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188</w:t>
            </w:r>
          </w:p>
        </w:tc>
      </w:tr>
    </w:tbl>
    <w:p>
      <w:pPr>
        <w:spacing w:after="120"/>
      </w:pPr>
    </w:p>
    <w:p>
      <w:pPr>
        <w:pStyle w:val="Heading1"/>
        <w:pBdr>
          <w:bottom w:val="single" w:color="1F3A5F" w:sz="6" w:space="2"/>
        </w:pBdr>
        <w:spacing w:after="140" w:before="320"/>
      </w:pPr>
      <w:r>
        <w:rPr>
          <w:b/>
          <w:bCs/>
          <w:color w:val="1F3A5F"/>
          <w:sz w:val="30"/>
          <w:szCs w:val="30"/>
        </w:rPr>
        <w:t xml:space="preserve">6. Interpretation</w:t>
      </w:r>
    </w:p>
    <w:p>
      <w:pPr>
        <w:pStyle w:val="ListParagraph"/>
        <w:numPr>
          <w:ilvl w:val="0"/>
          <w:numId w:val="2"/>
        </w:numPr>
        <w:spacing w:after="80" w:line="290"/>
      </w:pPr>
      <w:r>
        <w:rPr>
          <w:b/>
          <w:bCs/>
          <w:sz w:val="22"/>
          <w:szCs w:val="22"/>
        </w:rPr>
        <w:t xml:space="preserve">Generalisation:</w:t>
      </w:r>
      <w:r>
        <w:rPr>
          <w:sz w:val="22"/>
          <w:szCs w:val="22"/>
        </w:rPr>
        <w:t xml:space="preserve"> Test accuracy of 96.28% is consistent with the 97.37% cross-validation score, so the model generalises well and shows no sign of overfitting.</w:t>
      </w:r>
    </w:p>
    <w:p>
      <w:pPr>
        <w:pStyle w:val="ListParagraph"/>
        <w:numPr>
          <w:ilvl w:val="0"/>
          <w:numId w:val="2"/>
        </w:numPr>
        <w:spacing w:after="80" w:line="290"/>
      </w:pPr>
      <w:r>
        <w:rPr>
          <w:b/>
          <w:bCs/>
          <w:sz w:val="22"/>
          <w:szCs w:val="22"/>
        </w:rPr>
        <w:t xml:space="preserve">Precision:</w:t>
      </w:r>
      <w:r>
        <w:rPr>
          <w:sz w:val="22"/>
          <w:szCs w:val="22"/>
        </w:rPr>
        <w:t xml:space="preserve"> Only 2 benign tumours were wrongly flagged as malignant, so false alarms are rare.</w:t>
      </w:r>
    </w:p>
    <w:p>
      <w:pPr>
        <w:pStyle w:val="ListParagraph"/>
        <w:numPr>
          <w:ilvl w:val="0"/>
          <w:numId w:val="2"/>
        </w:numPr>
        <w:spacing w:after="80" w:line="290"/>
      </w:pPr>
      <w:r>
        <w:rPr>
          <w:b/>
          <w:bCs/>
          <w:sz w:val="22"/>
          <w:szCs w:val="22"/>
        </w:rPr>
        <w:t xml:space="preserve">Recall:</w:t>
      </w:r>
      <w:r>
        <w:rPr>
          <w:sz w:val="22"/>
          <w:szCs w:val="22"/>
        </w:rPr>
        <w:t xml:space="preserve"> The model correctly identified 65 of the 70 malignant tumours (recall 92.86%).</w:t>
      </w:r>
    </w:p>
    <w:p>
      <w:pPr>
        <w:pStyle w:val="ListParagraph"/>
        <w:numPr>
          <w:ilvl w:val="0"/>
          <w:numId w:val="2"/>
        </w:numPr>
        <w:spacing w:after="80" w:line="290"/>
      </w:pPr>
      <w:r>
        <w:rPr>
          <w:b/>
          <w:bCs/>
          <w:sz w:val="22"/>
          <w:szCs w:val="22"/>
        </w:rPr>
        <w:t xml:space="preserve">Use:</w:t>
      </w:r>
      <w:r>
        <w:rPr>
          <w:sz w:val="22"/>
          <w:szCs w:val="22"/>
        </w:rPr>
        <w:t xml:space="preserve"> A model like this can support a clinician as a second opinion, but it is not a substitute for a biopsy result or medical judgement.</w:t>
      </w:r>
    </w:p>
    <w:p>
      <w:pPr>
        <w:pStyle w:val="Heading1"/>
        <w:pBdr>
          <w:bottom w:val="single" w:color="1F3A5F" w:sz="6" w:space="2"/>
        </w:pBdr>
        <w:spacing w:after="140" w:before="320"/>
      </w:pPr>
      <w:r>
        <w:rPr>
          <w:b/>
          <w:bCs/>
          <w:color w:val="1F3A5F"/>
          <w:sz w:val="30"/>
          <w:szCs w:val="30"/>
        </w:rPr>
        <w:t xml:space="preserve">7. Conclusion</w:t>
      </w:r>
    </w:p>
    <w:p>
      <w:pPr>
        <w:spacing w:after="120" w:line="300"/>
      </w:pPr>
      <w:r>
        <w:rPr>
          <w:sz w:val="22"/>
          <w:szCs w:val="22"/>
        </w:rPr>
        <w:t xml:space="preserve">Four classifiers were compared on the 569-record breast tumour dataset. Standardising the features lifted SVM to the best cross-validated accuracy of 97.37%, and the final scaled SVM reached 96.28% accuracy, 97.01% precision and 92.86% recall on unseen test data, with only 7 errors out of 188 records. The project shows that a simple, well-prepared pipeline can classify tumours reliably from cell nucleus measurements.</w:t>
      </w:r>
    </w:p>
    <w:p>
      <w:pPr>
        <w:pStyle w:val="Heading1"/>
        <w:pBdr>
          <w:bottom w:val="single" w:color="1F3A5F" w:sz="6" w:space="2"/>
        </w:pBdr>
        <w:spacing w:after="140" w:before="320"/>
      </w:pPr>
      <w:r>
        <w:rPr>
          <w:b/>
          <w:bCs/>
          <w:color w:val="1F3A5F"/>
          <w:sz w:val="30"/>
          <w:szCs w:val="30"/>
        </w:rPr>
        <w:t xml:space="preserve">8. Future Scope</w:t>
      </w:r>
    </w:p>
    <w:p>
      <w:pPr>
        <w:pStyle w:val="ListParagraph"/>
        <w:numPr>
          <w:ilvl w:val="0"/>
          <w:numId w:val="2"/>
        </w:numPr>
        <w:spacing w:after="80" w:line="290"/>
      </w:pPr>
      <w:r>
        <w:rPr>
          <w:sz w:val="22"/>
          <w:szCs w:val="22"/>
        </w:rPr>
        <w:t xml:space="preserve">Tune the SVM (C, gamma, kernel) with GridSearchCV to push recall higher.</w:t>
      </w:r>
    </w:p>
    <w:p>
      <w:pPr>
        <w:pStyle w:val="ListParagraph"/>
        <w:numPr>
          <w:ilvl w:val="0"/>
          <w:numId w:val="2"/>
        </w:numPr>
        <w:spacing w:after="80" w:line="290"/>
      </w:pPr>
      <w:r>
        <w:rPr>
          <w:sz w:val="22"/>
          <w:szCs w:val="22"/>
        </w:rPr>
        <w:t xml:space="preserve">Try Random Forest, Gradient Boosting and Logistic Regression, and compare using ROC-AUC.</w:t>
      </w:r>
    </w:p>
    <w:p>
      <w:pPr>
        <w:pStyle w:val="ListParagraph"/>
        <w:numPr>
          <w:ilvl w:val="0"/>
          <w:numId w:val="2"/>
        </w:numPr>
        <w:spacing w:after="80" w:line="290"/>
      </w:pPr>
      <w:r>
        <w:rPr>
          <w:sz w:val="22"/>
          <w:szCs w:val="22"/>
        </w:rPr>
        <w:t xml:space="preserve">Apply feature selection or PCA to reduce the 30 highly correlated features.</w:t>
      </w:r>
    </w:p>
    <w:p>
      <w:pPr>
        <w:pStyle w:val="ListParagraph"/>
        <w:numPr>
          <w:ilvl w:val="0"/>
          <w:numId w:val="2"/>
        </w:numPr>
        <w:spacing w:after="80" w:line="290"/>
      </w:pPr>
      <w:r>
        <w:rPr>
          <w:sz w:val="22"/>
          <w:szCs w:val="22"/>
        </w:rPr>
        <w:t xml:space="preserve">Handle class imbalance with class weights or SMOTE.</w:t>
      </w:r>
    </w:p>
    <w:p>
      <w:pPr>
        <w:pStyle w:val="ListParagraph"/>
        <w:numPr>
          <w:ilvl w:val="0"/>
          <w:numId w:val="2"/>
        </w:numPr>
        <w:spacing w:after="80" w:line="290"/>
      </w:pPr>
      <w:r>
        <w:rPr>
          <w:sz w:val="22"/>
          <w:szCs w:val="22"/>
        </w:rPr>
        <w:t xml:space="preserve">Deploy the model as a Streamlit or Flask web app for interactive predictions.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9"/>
        <w:sz w:val="18"/>
        <w:szCs w:val="18"/>
      </w:rPr>
      <w:t xml:space="preserve">Breast Cancer Prediction Report  |  Page </w:t>
    </w:r>
    <w:r>
      <w:rPr>
        <w:color w:val="7A86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5736f02c25d4337a6888bb0fa8e9b3d2ced2b1b.png"/><Relationship Id="rId9" Type="http://schemas.openxmlformats.org/officeDocument/2006/relationships/image" Target="media/4e0108c1da86030fbdb457af1bfff9007985d120.png"/><Relationship Id="rId10" Type="http://schemas.openxmlformats.org/officeDocument/2006/relationships/image" Target="media/f6421daeae1828cc6cde375f9186f2eb1e94ea2a.png"/><Relationship Id="rId11" Type="http://schemas.openxmlformats.org/officeDocument/2006/relationships/image" Target="media/966c0292281909de5acead789088a02cc59c0df4.png"/><Relationship Id="rId12" Type="http://schemas.openxmlformats.org/officeDocument/2006/relationships/image" Target="media/5cc21acd9f0ddd4b4979b2c07ff08f560fddd576.png"/><Relationship Id="rId13" Type="http://schemas.openxmlformats.org/officeDocument/2006/relationships/image" Target="media/78757dcdf5ac8f15272bedfe8c2b0723e9ea9aa7.png"/><Relationship Id="rId14" Type="http://schemas.openxmlformats.org/officeDocument/2006/relationships/image" Target="media/0763da8abd813652888ad254a056ab78d1442d0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Breast Cancer Prediction Report</dc:title>
  <dc:creator>Priyanshu Dash</dc:creator>
  <cp:lastModifiedBy>Un-named</cp:lastModifiedBy>
  <cp:revision>1</cp:revision>
  <dcterms:created xsi:type="dcterms:W3CDTF">2026-09-28T08:36:16.094Z</dcterms:created>
  <dcterms:modified xsi:type="dcterms:W3CDTF">2026-09-28T08:36:16.103Z</dcterms:modified>
</cp:coreProperties>
</file>

<file path=docProps/custom.xml><?xml version="1.0" encoding="utf-8"?>
<Properties xmlns="http://schemas.openxmlformats.org/officeDocument/2006/custom-properties" xmlns:vt="http://schemas.openxmlformats.org/officeDocument/2006/docPropsVTypes"/>
</file>