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left"/>
      </w:pPr>
      <w:r>
        <w:rPr>
          <w:rFonts w:ascii="Calibri" w:hAnsi="Calibri"/>
          <w:b/>
          <w:color w:val="17212B"/>
          <w:sz w:val="44"/>
        </w:rPr>
        <w:t>Synthetic Clinical Review Note</w:t>
      </w:r>
    </w:p>
    <w:p>
      <w:pPr>
        <w:spacing w:after="40"/>
      </w:pPr>
      <w:r>
        <w:rPr>
          <w:b/>
        </w:rPr>
        <w:t xml:space="preserve">Patient: </w:t>
      </w:r>
      <w:r>
        <w:t>Amelia Hart</w:t>
      </w:r>
    </w:p>
    <w:p>
      <w:pPr>
        <w:spacing w:after="40"/>
      </w:pPr>
      <w:r>
        <w:rPr>
          <w:b/>
        </w:rPr>
        <w:t xml:space="preserve">Age: </w:t>
      </w:r>
      <w:r>
        <w:t>67</w:t>
      </w:r>
    </w:p>
    <w:p>
      <w:pPr>
        <w:spacing w:after="40"/>
      </w:pPr>
      <w:r>
        <w:rPr>
          <w:b/>
        </w:rPr>
        <w:t xml:space="preserve">Sex: </w:t>
      </w:r>
      <w:r>
        <w:t>Female</w:t>
      </w:r>
    </w:p>
    <w:p>
      <w:pPr>
        <w:spacing w:after="40"/>
      </w:pPr>
      <w:r>
        <w:rPr>
          <w:b/>
        </w:rPr>
        <w:t xml:space="preserve">Document date: </w:t>
      </w:r>
      <w:r>
        <w:t>2026-06-18</w:t>
      </w:r>
    </w:p>
    <w:p>
      <w:pPr>
        <w:spacing w:after="40"/>
      </w:pPr>
      <w:r>
        <w:rPr>
          <w:b/>
        </w:rPr>
        <w:t xml:space="preserve">Document type: </w:t>
      </w:r>
      <w:r>
        <w:t>Physician Progress Note</w:t>
      </w:r>
    </w:p>
    <w:p>
      <w:pPr>
        <w:pStyle w:val="Heading2"/>
      </w:pPr>
      <w:r>
        <w:t>Assessment</w:t>
      </w:r>
    </w:p>
    <w:p>
      <w:r>
        <w:t>Type 2 diabetes mellitus and hypertension.</w:t>
      </w:r>
    </w:p>
    <w:p>
      <w:pPr>
        <w:pStyle w:val="Heading2"/>
      </w:pPr>
      <w:r>
        <w:t>Symptoms</w:t>
      </w:r>
    </w:p>
    <w:p>
      <w:r>
        <w:t>Fatigue, blurred vision and dizziness. Patient denies chest pain.</w:t>
      </w:r>
    </w:p>
    <w:p>
      <w:pPr>
        <w:pStyle w:val="Heading2"/>
      </w:pPr>
      <w:r>
        <w:t>Current medications</w:t>
      </w:r>
    </w:p>
    <w:p>
      <w:r>
        <w:t>Metformin 1000 mg twice daily. Amlodipine 10 mg OD.</w:t>
      </w:r>
    </w:p>
    <w:p>
      <w:pPr>
        <w:pStyle w:val="Heading2"/>
      </w:pPr>
      <w:r>
        <w:t>Allergies</w:t>
      </w:r>
    </w:p>
    <w:p>
      <w:r>
        <w:t>Penicillin allergy.</w:t>
      </w:r>
    </w:p>
    <w:p>
      <w:pPr>
        <w:pStyle w:val="Heading2"/>
      </w:pPr>
      <w:r>
        <w:t>Results</w:t>
      </w:r>
    </w:p>
    <w:p>
      <w:r>
        <w:t>HbA1c 9.4%. Blood pressure 168/96 mmHg.</w:t>
      </w:r>
    </w:p>
    <w:p>
      <w:pPr>
        <w:pStyle w:val="Heading2"/>
      </w:pPr>
      <w:r>
        <w:t>Plan</w:t>
      </w:r>
    </w:p>
    <w:p>
      <w:r>
        <w:t>Route to the diabetes nurse specialist within 7 days.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Clinical Review Note</dc:title>
  <dc:subject>Synthetic cross-format POC input</dc:subject>
  <dc:creator>Clinical Document Intelligence 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