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7D32"/>
          <w:sz w:val="54"/>
          <w:szCs w:val="54"/>
        </w:rPr>
        <w:t xml:space="preserve">SAME SAME, DIFFERENT</w:t>
      </w:r>
    </w:p>
    <w:p>
      <w:pPr>
        <w:spacing w:after="60"/>
        <w:jc w:val="center"/>
      </w:pPr>
      <w:r>
        <w:rPr>
          <w:color w:val="D2552B"/>
          <w:sz w:val="27"/>
          <w:szCs w:val="27"/>
        </w:rPr>
        <w:t xml:space="preserve">An Early-Childhood Gender-Equality Game</w:t>
      </w:r>
    </w:p>
    <w:p>
      <w:pPr>
        <w:spacing w:after="60"/>
        <w:jc w:val="center"/>
      </w:pPr>
      <w:r>
        <w:rPr>
          <w:i/>
          <w:iCs/>
          <w:color w:val="595959"/>
          <w:sz w:val="22"/>
          <w:szCs w:val="22"/>
        </w:rPr>
        <w:t xml:space="preserve">Game Design Document (full)</w:t>
      </w:r>
    </w:p>
    <w:p>
      <w:pPr>
        <w:spacing w:after="380"/>
        <w:jc w:val="center"/>
      </w:pPr>
      <w:r>
        <w:rPr>
          <w:color w:val="595959"/>
          <w:sz w:val="19"/>
          <w:szCs w:val="19"/>
        </w:rPr>
        <w:t xml:space="preserve">Ages 3–6  •  Tablet/phone, audio-first  •  Family &amp; Anganwadi co-play  •  Version 1.0</w:t>
      </w:r>
    </w:p>
    <w:p>
      <w:pPr>
        <w:spacing w:after="120"/>
        <w:jc w:val="center"/>
      </w:pPr>
      <w:r>
        <w:rPr>
          <w:b/>
          <w:bCs/>
          <w:sz w:val="20"/>
          <w:szCs w:val="20"/>
        </w:rPr>
        <w:t xml:space="preserve">One-line pitch</w:t>
      </w:r>
    </w:p>
    <w:p>
      <w:pPr>
        <w:spacing w:after="900"/>
        <w:jc w:val="center"/>
      </w:pPr>
      <w:r>
        <w:rPr>
          <w:i/>
          <w:iCs/>
          <w:sz w:val="22"/>
          <w:szCs w:val="22"/>
        </w:rPr>
        <w:t xml:space="preserve">“We’re all the same inside and wonderfully different outside — tap to discover what every new friend shares with you, and grow a garden full of friends.”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Same Same, Different is a warm, audio-first game for 3–6 year-olds that plants the very first root of gender equality: every person is the same inside — we all feel, dream, and deserve kindness — and wonderfully different outside, and both of those are good. The child meets pairs of children who look different (different genders, skin tones, faiths, abilities and dress) and taps to discover what they share, lighting up a glowing ‘friendship thread’ between them until they become friends. Along the way the game gently shows that anyone can do anything regardless of gender, and that everyone deserves a turn, to be included, and to be safe.</w:t>
      </w:r>
    </w:p>
    <w:p>
      <w:pPr>
        <w:spacing w:after="130"/>
      </w:pPr>
      <w:r>
        <w:t xml:space="preserve">It is the first game in the Gender Equality pack and the opening lesson of the SwipeEd app’s youngest section. It is designed for a small child playing beside a parent or an Anganwadi/pre-school teacher.</w:t>
      </w:r>
    </w:p>
    <w:p>
      <w:pPr>
        <w:pStyle w:val="Heading1"/>
      </w:pPr>
      <w:r>
        <w:t xml:space="preserve">2. How the Play-to-Learn Toolkit Becomes Age-Appropriate</w:t>
      </w:r>
    </w:p>
    <w:p>
      <w:pPr>
        <w:spacing w:after="130"/>
      </w:pPr>
      <w:r>
        <w:t xml:space="preserve">Our flagship teen game, Green Light / Red Light 2.0, uses roguelike runs, deckbuilder perks, leaderboards and time pressure. None of those belong in a four-year-old’s hands — a preschooler cannot equip a perk loadout, and competition or a ticking clock would only cause stress. So this GDD applies the same engagement science, but maps every lever to the mechanic that actually grips this age: delight, a lovable companion, repetition-with-surprise, collection, creation, and a trusted grown-up alongside. The mapping is the core design decision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Teen version (GL/RL 2.0)</w:t>
            </w:r>
          </w:p>
        </w:tc>
        <w:tc>
          <w:tcPr>
            <w:tcW w:type="dxa" w:w="40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 discovering what two children share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threads light up, sparkles, giggles, a song — even MORE central here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gentle journey that grows a ‘Friendship Garden’ — no fail, no pressure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 / synergy (perks)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Omitted (too abstract) → replaced by Make-a-Friend creation</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Three gently deepening layers (feelings → can-do → fair &amp; safe); never a fail</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Choose which friend to visit; make your own character</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Build-a-Flag (author cards)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 (create your own character, any look, any role)</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sticker book + a ‘Friend Family’ album of diverse friends</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a lovable shape-shifter — the emotional hook</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Parent / teacher CO-PLAY and group play — never competition or ranking</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Time pressure / tension</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Optional blitz rounds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‘Help the friends find what they share and become friends’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Warm, audio-first ‘discovery &amp; friendship’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to discover what two different children share</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UNESCO 3.1 (social construction of gender) with 1.3 (respect); light 3.2 (anti-stereotype)</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2–5 minutes; short and sweet by design</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a friendly shape-shifter who can look any way</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 fail state, no timer, no competition, no streaks</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Economy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None — fully free of purchases; cosmetic stickers earned by play only</w:t>
            </w:r>
          </w:p>
        </w:tc>
      </w:tr>
    </w:tbl>
    <w:p>
      <w:pPr>
        <w:spacing w:after="140"/>
      </w:pPr>
    </w:p>
    <w:p>
      <w:pPr>
        <w:pStyle w:val="Heading1"/>
      </w:pPr>
      <w:r>
        <w:t xml:space="preserve">4. Design Pillars</w:t>
      </w:r>
    </w:p>
    <w:p>
      <w:pPr>
        <w:spacing w:after="120"/>
      </w:pPr>
      <w:r>
        <w:rPr>
          <w:b/>
          <w:bCs/>
        </w:rPr>
        <w:t xml:space="preserve">The play is the learning. </w:t>
      </w:r>
      <w:r>
        <w:t xml:space="preserve">Tapping to find what two children share IS noticing that we are equal inside — not a quiz about it.</w:t>
      </w:r>
    </w:p>
    <w:p>
      <w:pPr>
        <w:spacing w:after="120"/>
      </w:pPr>
      <w:r>
        <w:rPr>
          <w:b/>
          <w:bCs/>
        </w:rPr>
        <w:t xml:space="preserve">Delight over difficulty. </w:t>
      </w:r>
      <w:r>
        <w:t xml:space="preserve">At this age, joy is the engine. Sparkle, song and a giggling friend matter more than any challenge.</w:t>
      </w:r>
    </w:p>
    <w:p>
      <w:pPr>
        <w:spacing w:after="120"/>
      </w:pPr>
      <w:r>
        <w:rPr>
          <w:b/>
          <w:bCs/>
        </w:rPr>
        <w:t xml:space="preserve">A friend to love. </w:t>
      </w:r>
      <w:r>
        <w:t xml:space="preserve">Sam the companion gives the child someone to come back for.</w:t>
      </w:r>
    </w:p>
    <w:p>
      <w:pPr>
        <w:spacing w:after="120"/>
      </w:pPr>
      <w:r>
        <w:rPr>
          <w:b/>
          <w:bCs/>
        </w:rPr>
        <w:t xml:space="preserve">No pressure, ever. </w:t>
      </w:r>
      <w:r>
        <w:t xml:space="preserve">No fail, no timer, no competition, no guilt — only warmth and discovery.</w:t>
      </w:r>
    </w:p>
    <w:p>
      <w:pPr>
        <w:spacing w:after="120"/>
      </w:pPr>
      <w:r>
        <w:rPr>
          <w:b/>
          <w:bCs/>
        </w:rPr>
        <w:t xml:space="preserve">A grown-up alongside. </w:t>
      </w:r>
      <w:r>
        <w:t xml:space="preserve">The best early learning is social; the game actively pulls a parent or teacher into the play.</w:t>
      </w:r>
    </w:p>
    <w:p>
      <w:pPr>
        <w:spacing w:after="120"/>
      </w:pPr>
      <w:r>
        <w:rPr>
          <w:b/>
          <w:bCs/>
        </w:rPr>
        <w:t xml:space="preserve">Made for India. </w:t>
      </w:r>
      <w:r>
        <w:t xml:space="preserve">The friends reflect India’s real diversity, planting equality and anti-colourism at the root.</w:t>
      </w:r>
    </w:p>
    <w:p>
      <w:pPr>
        <w:pStyle w:val="Heading1"/>
      </w:pPr>
      <w:r>
        <w:t xml:space="preserve">5. Learning Goals &amp; Curriculum Alignment</w:t>
      </w:r>
    </w:p>
    <w:p>
      <w:pPr>
        <w:spacing w:after="130"/>
      </w:pPr>
      <w:r>
        <w:t xml:space="preserve">After playing regularly, a young child should: happily notice that children who look different feel the same things and deserve the same kindness; believe that anyone can do anything regardless of being a boy or a girl; and show early respect — everyone gets a turn, everyone can be included, everyone deserves to be safe. This maps to UNESCO’s ‘Understanding Gender’ topic 3.1 (gender roles are learned; all are equal) and topic 1.3 (tolerance, inclusion and respect), with a light touch of 3.2 (busting ‘only boys / only girls’ stereotypes).</w:t>
      </w:r>
    </w:p>
    <w:p>
      <w:pPr>
        <w:pStyle w:val="Heading1"/>
      </w:pPr>
      <w:r>
        <w:t xml:space="preserve">6. Core Mechanic — Discover What We Share</w:t>
      </w:r>
    </w:p>
    <w:p>
      <w:pPr>
        <w:spacing w:after="130"/>
      </w:pPr>
      <w:r>
        <w:t xml:space="preserve">Sam introduces two new children who look different from each other. A warm voice asks, “What do they share?” The child taps to discover the sames — and each tap sends a glowing heart that links the two children with a shimmering friendship thread. When enough threads connect, the two become friends: they giggle and high-five, a flower blooms in the garden, and the child earns a sticker. Then, “And what’s different? Different is wonderful!” — and every difference the child taps is celebrated too.</w:t>
      </w:r>
    </w:p>
    <w:p>
      <w:pPr>
        <w:spacing w:after="130"/>
      </w:pPr>
      <w:r>
        <w:t xml:space="preserve">There are no wrong taps. The game only ever responds with warmth. Occasionally a gentle ‘myth bubble’ floats up — “but that’s only for boys!” — and the child pops it (“Anyone can!”), a tiny, joyful anti-stereotype beat.</w:t>
      </w:r>
    </w:p>
    <w:p>
      <w:pPr>
        <w:pStyle w:val="Heading2"/>
      </w:pPr>
      <w:r>
        <w:t xml:space="preserve">The core loop</w:t>
      </w:r>
    </w:p>
    <w:p>
      <w:pPr>
        <w:pStyle w:val="ListParagraph"/>
        <w:numPr>
          <w:ilvl w:val="0"/>
          <w:numId w:val="2"/>
        </w:numPr>
        <w:spacing w:after="60"/>
      </w:pPr>
      <w:r>
        <w:rPr>
          <w:sz w:val="21"/>
          <w:szCs w:val="21"/>
        </w:rPr>
        <w:t xml:space="preserve">Sam reveals two new friends (peekaboo — a curiosity hook).</w:t>
      </w:r>
    </w:p>
    <w:p>
      <w:pPr>
        <w:pStyle w:val="ListParagraph"/>
        <w:numPr>
          <w:ilvl w:val="0"/>
          <w:numId w:val="2"/>
        </w:numPr>
        <w:spacing w:after="60"/>
      </w:pPr>
      <w:r>
        <w:rPr>
          <w:sz w:val="21"/>
          <w:szCs w:val="21"/>
        </w:rPr>
        <w:t xml:space="preserve">“What do they share?” — the child taps sames; threads light up between the pair.</w:t>
      </w:r>
    </w:p>
    <w:p>
      <w:pPr>
        <w:pStyle w:val="ListParagraph"/>
        <w:numPr>
          <w:ilvl w:val="0"/>
          <w:numId w:val="2"/>
        </w:numPr>
        <w:spacing w:after="60"/>
      </w:pPr>
      <w:r>
        <w:rPr>
          <w:sz w:val="21"/>
          <w:szCs w:val="21"/>
        </w:rPr>
        <w:t xml:space="preserve">They become friends — giggles, a blooming flower, a sticker (the payoff).</w:t>
      </w:r>
    </w:p>
    <w:p>
      <w:pPr>
        <w:pStyle w:val="ListParagraph"/>
        <w:numPr>
          <w:ilvl w:val="0"/>
          <w:numId w:val="2"/>
        </w:numPr>
        <w:spacing w:after="60"/>
      </w:pPr>
      <w:r>
        <w:rPr>
          <w:sz w:val="21"/>
          <w:szCs w:val="21"/>
        </w:rPr>
        <w:t xml:space="preserve">“What’s different? Different is wonderful!” — the child taps and celebrates differences.</w:t>
      </w:r>
    </w:p>
    <w:p>
      <w:pPr>
        <w:pStyle w:val="ListParagraph"/>
        <w:numPr>
          <w:ilvl w:val="0"/>
          <w:numId w:val="2"/>
        </w:numPr>
        <w:spacing w:after="60"/>
      </w:pPr>
      <w:r>
        <w:rPr>
          <w:sz w:val="21"/>
          <w:szCs w:val="21"/>
        </w:rPr>
        <w:t xml:space="preserve">The new friend joins the Friend Family; on to the next pair. (2–5 minutes total.)</w:t>
      </w:r>
    </w:p>
    <w:p>
      <w:pPr>
        <w:pStyle w:val="Heading1"/>
      </w:pPr>
      <w:r>
        <w:t xml:space="preserve">7. The World &amp; the Companion</w:t>
      </w:r>
    </w:p>
    <w:p>
      <w:pPr>
        <w:spacing w:after="130"/>
      </w:pPr>
      <w:r>
        <w:rPr>
          <w:b/>
          <w:bCs/>
        </w:rPr>
        <w:t xml:space="preserve">Sam. </w:t>
      </w:r>
      <w:r>
        <w:t xml:space="preserve">The guide is a soft, friendly shape-shifter who can take on any colour, shape and style — quietly embodying the whole idea: different outside, same warm friend inside. Sam cheers, models kindness, and is the character a small child returns for.</w:t>
      </w:r>
    </w:p>
    <w:p>
      <w:pPr>
        <w:spacing w:after="130"/>
      </w:pPr>
      <w:r>
        <w:rPr>
          <w:b/>
          <w:bCs/>
        </w:rPr>
        <w:t xml:space="preserve">The Friendship Garden. </w:t>
      </w:r>
      <w:r>
        <w:t xml:space="preserve">Progress lives in a garden that grows a new flower every time two children become friends. It is the age-right replacement for a level map or a streak: entirely visual, never numeric, with nothing to lose — just a garden that gets more beautiful the more the child plays.</w:t>
      </w:r>
    </w:p>
    <w:p>
      <w:pPr>
        <w:pStyle w:val="Heading1"/>
      </w:pPr>
      <w:r>
        <w:t xml:space="preserve">8. Juice, Sound &amp; the Song — the Biggest Lever Here</w:t>
      </w:r>
    </w:p>
    <w:p>
      <w:pPr>
        <w:spacing w:after="130"/>
      </w:pPr>
      <w:r>
        <w:t xml:space="preserve">For this age, game feel is not polish; it is the product. Every interaction is built to delight:</w:t>
      </w:r>
    </w:p>
    <w:p>
      <w:pPr>
        <w:pStyle w:val="ListParagraph"/>
        <w:numPr>
          <w:ilvl w:val="0"/>
          <w:numId w:val="3"/>
        </w:numPr>
        <w:spacing w:after="60"/>
      </w:pPr>
      <w:r>
        <w:rPr>
          <w:sz w:val="21"/>
          <w:szCs w:val="21"/>
        </w:rPr>
        <w:t xml:space="preserve">Friendship threads: each ‘same’ tap launches a glowing heart that links the two friends with a shimmering, musical thread.</w:t>
      </w:r>
    </w:p>
    <w:p>
      <w:pPr>
        <w:pStyle w:val="ListParagraph"/>
        <w:numPr>
          <w:ilvl w:val="0"/>
          <w:numId w:val="3"/>
        </w:numPr>
        <w:spacing w:after="60"/>
      </w:pPr>
      <w:r>
        <w:rPr>
          <w:sz w:val="21"/>
          <w:szCs w:val="21"/>
        </w:rPr>
        <w:t xml:space="preserve">Reactions: the children giggle, wave, bounce and high-five as they connect; Sam cheers along.</w:t>
      </w:r>
    </w:p>
    <w:p>
      <w:pPr>
        <w:pStyle w:val="ListParagraph"/>
        <w:numPr>
          <w:ilvl w:val="0"/>
          <w:numId w:val="3"/>
        </w:numPr>
        <w:spacing w:after="60"/>
      </w:pPr>
      <w:r>
        <w:rPr>
          <w:sz w:val="21"/>
          <w:szCs w:val="21"/>
        </w:rPr>
        <w:t xml:space="preserve">Bloom &amp; sparkle: a flower pops open with a satisfying chime; bubbles and confetti on a new friendship.</w:t>
      </w:r>
    </w:p>
    <w:p>
      <w:pPr>
        <w:pStyle w:val="ListParagraph"/>
        <w:numPr>
          <w:ilvl w:val="0"/>
          <w:numId w:val="3"/>
        </w:numPr>
        <w:spacing w:after="60"/>
      </w:pPr>
      <w:r>
        <w:rPr>
          <w:sz w:val="21"/>
          <w:szCs w:val="21"/>
        </w:rPr>
        <w:t xml:space="preserve">The ‘Same Inside’ song: a short, catchy, hummable tune that plays under the taps — music is huge at this age.</w:t>
      </w:r>
    </w:p>
    <w:p>
      <w:pPr>
        <w:pStyle w:val="ListParagraph"/>
        <w:numPr>
          <w:ilvl w:val="0"/>
          <w:numId w:val="3"/>
        </w:numPr>
        <w:spacing w:after="60"/>
      </w:pPr>
      <w:r>
        <w:rPr>
          <w:sz w:val="21"/>
          <w:szCs w:val="21"/>
        </w:rPr>
        <w:t xml:space="preserve">Big, soft, bouncy buttons with squash-and-stretch; warm spoken praise in the child’s language.</w:t>
      </w:r>
    </w:p>
    <w:p>
      <w:pPr>
        <w:pStyle w:val="ListParagraph"/>
        <w:numPr>
          <w:ilvl w:val="0"/>
          <w:numId w:val="3"/>
        </w:numPr>
        <w:spacing w:after="60"/>
      </w:pPr>
      <w:r>
        <w:rPr>
          <w:sz w:val="21"/>
          <w:szCs w:val="21"/>
        </w:rPr>
        <w:t xml:space="preserve">A gentle haptic buzz on connect; no harsh sounds and no ‘wrong’ buzzers anywhere.</w:t>
      </w:r>
    </w:p>
    <w:p>
      <w:pPr>
        <w:pStyle w:val="ListParagraph"/>
        <w:numPr>
          <w:ilvl w:val="0"/>
          <w:numId w:val="3"/>
        </w:numPr>
        <w:spacing w:after="60"/>
      </w:pPr>
      <w:r>
        <w:rPr>
          <w:sz w:val="21"/>
          <w:szCs w:val="21"/>
        </w:rPr>
        <w:t xml:space="preserve">Peekaboo reveals for each new pair, to spark curiosity.</w:t>
      </w:r>
    </w:p>
    <w:p>
      <w:r>
        <w:br w:type="page"/>
      </w:r>
    </w:p>
    <w:p>
      <w:pPr>
        <w:pStyle w:val="Heading1"/>
      </w:pPr>
      <w:r>
        <w:t xml:space="preserve">9. The Content System — Three Gently Deepening Layers</w:t>
      </w:r>
    </w:p>
    <w:p>
      <w:pPr>
        <w:spacing w:after="130"/>
      </w:pPr>
      <w:r>
        <w:t xml:space="preserve">The game has no difficulty ‘ramp’ in the adult sense; instead it deepens what ‘same inside’ means as the child plays more — the age-right version of mastery and the curriculum’s spiral. The child never fails; the layers simply unfold.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Sample ‘what do they share?’ taps</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 Feelings</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We all feel the same things inside</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can feel happy.”  “Both get scared sometimes.”  “Both can cry.”</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 — Can-Do</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Anyone can do anything, whatever their gender</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can be a doctor.”  “Both can cook.”  “Both can play cricket.”  “Both can dance.”</w:t>
            </w:r>
          </w:p>
        </w:tc>
      </w:tr>
      <w:tr>
        <w:trPr>
          <w:cantSplit/>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 — Fair &amp; Safe</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Everyone deserves fairness, inclusion and safety</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“Both deserve a turn.”  “Both can join the game.”  “Both deserve to be safe and treated kindly.”</w:t>
            </w:r>
          </w:p>
        </w:tc>
      </w:tr>
    </w:tbl>
    <w:p>
      <w:pPr>
        <w:spacing w:after="140"/>
      </w:pPr>
    </w:p>
    <w:p>
      <w:pPr>
        <w:spacing w:after="130"/>
      </w:pPr>
      <w:r>
        <w:rPr>
          <w:b/>
          <w:bCs/>
        </w:rPr>
        <w:t xml:space="preserve">The diversity matrix. </w:t>
      </w:r>
      <w:r>
        <w:t xml:space="preserve">Pairs are drawn from a matrix so that, over time, the child meets difference across many dimensions — gender, skin tone, faith and dress, ability (including children with mobility aids, glasses, hearing aids), body type, and urban/rural life. Variety keeps it fresh (curiosity) and makes the inclusion real rather than tokenistic.</w:t>
      </w:r>
    </w:p>
    <w:p>
      <w:pPr>
        <w:pStyle w:val="Heading1"/>
      </w:pPr>
      <w:r>
        <w:t xml:space="preserve">10. Make-a-Friend — Creation for the Very Young</w:t>
      </w:r>
    </w:p>
    <w:p>
      <w:pPr>
        <w:spacing w:after="130"/>
      </w:pPr>
      <w:r>
        <w:t xml:space="preserve">The deepest engagement at any age is making something. Here, the child creates their own character: pick a skin tone, hair, clothes, and accessories that can include glasses, a hearing aid or a wheelchair. The new character then joins the garden and, in a tiny role-play, ‘can do anything’ — flying a plane, cooking, leading a game. This single feature carries enormous weight: it gives the child identity and ownership, it bakes in disability inclusion, and it lets them act out that any child — including one who looks like them — can be and do anything.</w:t>
      </w:r>
    </w:p>
    <w:p>
      <w:pPr>
        <w:pStyle w:val="Heading1"/>
      </w:pPr>
      <w:r>
        <w:t xml:space="preserve">11. Collection &amp; Gentle Progression</w:t>
      </w:r>
    </w:p>
    <w:p>
      <w:pPr>
        <w:spacing w:after="130"/>
      </w:pPr>
      <w:r>
        <w:t xml:space="preserve">Ownership without pressure: the child collects stickers and a ‘Friend Family’ album of all the diverse friends they have met, and watches the Friendship Garden grow. There are no streaks to break, no leaderboards, no daily-guilt notifications, and nothing to buy. Progress is something that only ever grows and is purely a delight to look back on.</w:t>
      </w:r>
    </w:p>
    <w:p>
      <w:pPr>
        <w:pStyle w:val="Heading1"/>
      </w:pPr>
      <w:r>
        <w:t xml:space="preserve">12. Modes of Use</w:t>
      </w:r>
    </w:p>
    <w:p>
      <w:pPr>
        <w:spacing w:after="120"/>
      </w:pPr>
      <w:r>
        <w:rPr>
          <w:b/>
          <w:bCs/>
        </w:rPr>
        <w:t xml:space="preserve">Solo (grown-up nearby). </w:t>
      </w:r>
      <w:r>
        <w:t xml:space="preserve">Short, self-directed play for a child with an adult close by.</w:t>
      </w:r>
    </w:p>
    <w:p>
      <w:pPr>
        <w:spacing w:after="120"/>
      </w:pPr>
      <w:r>
        <w:rPr>
          <w:b/>
          <w:bCs/>
        </w:rPr>
        <w:t xml:space="preserve">Family Co-play. </w:t>
      </w:r>
      <w:r>
        <w:t xml:space="preserve">The game prompts the parent — “Ask your child: who do YOU share something with?” — turning play into a conversation. This is the built-in ‘communication starter’ for families and the single biggest booster of learning at this age.</w:t>
      </w:r>
    </w:p>
    <w:p>
      <w:pPr>
        <w:spacing w:after="120"/>
      </w:pPr>
      <w:r>
        <w:rPr>
          <w:b/>
          <w:bCs/>
        </w:rPr>
        <w:t xml:space="preserve">Group mode (Anganwadi / pre-school). </w:t>
      </w:r>
      <w:r>
        <w:t xml:space="preserve">A teacher leads on a big screen; children call out the sames together and take turns tapping — social, joyful, and a fit for early-childhood centres.</w:t>
      </w:r>
    </w:p>
    <w:p>
      <w:pPr>
        <w:pStyle w:val="Heading1"/>
      </w:pPr>
      <w:r>
        <w:t xml:space="preserve">13.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 greets the child; pick a language; a grown-up sets things up</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Garden (home)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growing Friendship Garden; tap a flower to revisit a friend; big ‘play’ button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Meet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Peekaboo reveal of two new friends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Discover</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“What do they share?” — big tap targets; threads light up; warm voice-over</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Celebrate</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forms — giggles, bloom, sticker</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Create your own character; watch them ‘can-do’ anything</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 Family</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album of friends met; the sticker book</w:t>
            </w:r>
          </w:p>
        </w:tc>
      </w:tr>
    </w:tbl>
    <w:p>
      <w:pPr>
        <w:spacing w:after="140"/>
      </w:pPr>
    </w:p>
    <w:p>
      <w:pPr>
        <w:spacing w:after="130"/>
      </w:pPr>
      <w:r>
        <w:rPr>
          <w:b/>
          <w:bCs/>
        </w:rPr>
        <w:t xml:space="preserve">Interaction rules. </w:t>
      </w:r>
      <w:r>
        <w:t xml:space="preserve">Audio-first and fully pre-literate: nothing requires reading. Targets are large and forgiving, every action has spoken and visual feedback, and there is no way to ‘lose’.</w:t>
      </w:r>
    </w:p>
    <w:p>
      <w:pPr>
        <w:pStyle w:val="Heading1"/>
      </w:pPr>
      <w:r>
        <w:t xml:space="preserve">14. Art &amp; Audio Direction</w:t>
      </w:r>
    </w:p>
    <w:p>
      <w:pPr>
        <w:spacing w:after="130"/>
      </w:pPr>
      <w:r>
        <w:t xml:space="preserve">Warm, rounded, friendly illustration — closer to a beloved picture book than a clinical app. The cast is authentically, joyfully diverse, and difference is always shown as delightful, never as a problem to be solved. Audio carries the experience: a gentle musical bed, the ‘Same Inside’ song, expressive character sounds, and warm spoken narration recorded per language. A calm-mode reduces stimulation for sensitive children.</w:t>
      </w:r>
    </w:p>
    <w:p>
      <w:pPr>
        <w:pStyle w:val="Heading1"/>
      </w:pPr>
      <w:r>
        <w:t xml:space="preserve">15. India Adaptation &amp; Localisation</w:t>
      </w:r>
    </w:p>
    <w:p>
      <w:pPr>
        <w:spacing w:after="130"/>
      </w:pPr>
      <w:r>
        <w:t xml:space="preserve">The friends reflect India: a spectrum of skin tones (planting anti-colourism at the root — “all skin is beautiful”), different faiths and dress, children with disabilities, and boys and girls shown doing non-stereotyped things — a girl flying a plane, a boy cooking. This addresses son-preference and colourism at their earliest source: the message that every child is equally precious. The game ships with regional-language voice-over and song, and suits delivery through Anganwadi centres and parents.</w:t>
      </w:r>
    </w:p>
    <w:p>
      <w:pPr>
        <w:pStyle w:val="Heading1"/>
      </w:pPr>
      <w:r>
        <w:t xml:space="preserve">16. Safeguarding, Wellbeing &amp; Screen-Time</w:t>
      </w:r>
    </w:p>
    <w:p>
      <w:pPr>
        <w:spacing w:after="130"/>
      </w:pPr>
      <w:r>
        <w:t xml:space="preserve">For the very young, wellbeing means gentle, brief, shared play. Sessions are short by design; an adult is expected nearby; the app gives healthy screen-time guidance and a natural stopping point. There are no ads, no purchases, and no manipulative loops. Body-safety and ‘no one should hurt you’ are taught in the dedicated body-safety games; here the gentle message is simply that everyone deserves to be safe and treated kindly. A persistent, grown-up-facing help link is available.</w:t>
      </w:r>
    </w:p>
    <w:p>
      <w:pPr>
        <w:pStyle w:val="Heading1"/>
      </w:pPr>
      <w:r>
        <w:t xml:space="preserve">17. Accessibility &amp; Inclusion</w:t>
      </w:r>
    </w:p>
    <w:p>
      <w:pPr>
        <w:spacing w:after="130"/>
      </w:pPr>
      <w:r>
        <w:t xml:space="preserve">Inclusion is in the content (characters with disabilities are part of the everyday cast) and in the access: audio-first for pre-literacy, large forgiving targets, screen-reader and switch-access support, colour never the only cue, a reduced-stimulation calm mode, full offline play, and a low-end-device build for the widest reach.</w:t>
      </w:r>
    </w:p>
    <w:p>
      <w:pPr>
        <w:pStyle w:val="Heading1"/>
      </w:pPr>
      <w:r>
        <w:t xml:space="preserve">18. Privacy &amp; Data</w:t>
      </w:r>
    </w:p>
    <w:p>
      <w:pPr>
        <w:spacing w:after="130"/>
      </w:pPr>
      <w:r>
        <w:t xml:space="preserve">This is software for small children, so data minimalism is absolute: collect essentially nothing, require no personal profile, serve no third-party advertising, and never track or sell children’s data — aligned with India’s DPDP Act and children’s-data norms. Any progress is stored locally on the device.</w:t>
      </w:r>
    </w:p>
    <w:p>
      <w:pPr>
        <w:pStyle w:val="Heading1"/>
      </w:pPr>
      <w:r>
        <w:t xml:space="preserve">19.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Android-first; offline-first; low-end friendly; heavy on audio/animation assets, light on logic</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Character pairs, layers and the diversity matrix as data in a CMS; localisation &amp; audio pipeline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Make-a-Friend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simple modular avatar system (skin / hair / clothes / accessibility items)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Ships as the opening lesson of the SwipeEd app’s ages-3–6 section (Family Mode)</w:t>
            </w:r>
          </w:p>
        </w:tc>
      </w:tr>
    </w:tbl>
    <w:p>
      <w:pPr>
        <w:spacing w:after="140"/>
      </w:pPr>
    </w:p>
    <w:p>
      <w:pPr>
        <w:pStyle w:val="Heading1"/>
      </w:pPr>
      <w:r>
        <w:t xml:space="preserve">20. Measurement &amp; Evaluation</w:t>
      </w:r>
    </w:p>
    <w:p>
      <w:pPr>
        <w:spacing w:after="130"/>
      </w:pPr>
      <w:r>
        <w:t xml:space="preserve">We do not test toddlers. Instead, learning is gauged through light, ethical signals: caregiver and teacher observation checklists (does the child include others? challenge a ‘that’s only for boys’ comment?), simple in-game ‘show me a friend who…’ moments, and a short before/after caregiver survey. Engagement is watched only for healthy patterns — short, happy, shared sessions — not for maximised screen time.</w:t>
      </w:r>
    </w:p>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Screen time concerns for young children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Short sessions, a natural stop, adult co-play, offline, and zero manipulative loops</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Diversity that feels tokenistic</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 authentic, wide diversity matrix, reviewed by educators; difference shown as everyday and joyful</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Mechanics too complex for the age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One-tap, audio-first, no reading, no fail; Make-a-Friend kept very simple</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Over-stimulation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calm mode with reduced effects and sound</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Cultural sensitivity (faith, region)</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Respectful, equal representation; no ranking of groups; local review</w:t>
            </w:r>
          </w:p>
        </w:tc>
      </w:tr>
    </w:tbl>
    <w:p>
      <w:pPr>
        <w:spacing w:after="140"/>
      </w:pPr>
    </w:p>
    <w:p>
      <w:pPr>
        <w:pStyle w:val="Heading1"/>
      </w:pPr>
      <w:r>
        <w:t xml:space="preserve">22.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Core tap-to-discover loop with full juice; Sam; Layer 1 (feelings) + Layer 2 (can-do); the Friendship Garden &amp; stickers;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Layer 3 (fair &amp; safe); Make-a-Friend; Family Co-play prompts; the ‘Same Inside’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Group/Anganwadi mode; a fuller diversity matrix &amp; friend album; caregiver guidance; further localisation</w:t>
            </w:r>
          </w:p>
        </w:tc>
      </w:tr>
    </w:tbl>
    <w:p>
      <w:pPr>
        <w:spacing w:after="140"/>
      </w:pPr>
    </w:p>
    <w:p>
      <w:pPr>
        <w:pStyle w:val="Heading1"/>
      </w:pPr>
      <w:r>
        <w:t xml:space="preserve">23. How This Fits SwipeEd</w:t>
      </w:r>
    </w:p>
    <w:p>
      <w:pPr>
        <w:spacing w:after="130"/>
      </w:pPr>
      <w:r>
        <w:t xml:space="preserve">Same Same, Different is the opening lesson of the SwipeEd app’s youngest section (ages 3–6), played in Family Mode with a parent or in an Anganwadi group. It establishes — years before the swipe games of adolescence — the bedrock the whole curriculum builds on: we are equal inside, gloriously different outside, and everyone deserves respect.</w:t>
      </w:r>
    </w:p>
    <w:p>
      <w:r>
        <w:br w:type="page"/>
      </w:r>
    </w:p>
    <w:p>
      <w:pPr>
        <w:pStyle w:val="Heading1"/>
      </w:pPr>
      <w:r>
        <w:t xml:space="preserve">Appendix A — The Diversity Matrix (sample cast)</w:t>
      </w:r>
    </w:p>
    <w:p>
      <w:pPr>
        <w:spacing w:after="130"/>
      </w:pPr>
      <w:r>
        <w:t xml:space="preserve">Friends are drawn from across these dimensions so that, over many short sessions, a child meets difference of every kind — and learns it is ordinary and wonderful.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Dimension</w:t>
            </w:r>
          </w:p>
        </w:tc>
        <w:tc>
          <w:tcPr>
            <w:tcW w:type="dxa" w:w="7260"/>
            <w:tcBorders>
              <w:top w:val="single" w:color="BBBBBB" w:sz="1"/>
              <w:left w:val="single" w:color="BBBBBB" w:sz="1"/>
              <w:bottom w:val="single" w:color="BBBBBB" w:sz="1"/>
              <w:right w:val="single" w:color="BBBBBB" w:sz="1"/>
            </w:tcBorders>
            <w:shd w:fill="2E7D32" w:val="clear"/>
            <w:tcMar>
              <w:top w:type="dxa" w:w="60"/>
              <w:left w:type="dxa" w:w="90"/>
              <w:bottom w:type="dxa" w:w="60"/>
              <w:right w:type="dxa" w:w="90"/>
            </w:tcMar>
          </w:tcPr>
          <w:p>
            <w:r>
              <w:rPr>
                <w:b/>
                <w:bCs/>
                <w:color w:val="FFFFFF"/>
                <w:sz w:val="18"/>
                <w:szCs w:val="18"/>
              </w:rPr>
              <w:t xml:space="preserve">Examples in the cast</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Boys and girls shown doing the full range of activities and feelings</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Skin tone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wide, beautiful spectrum (planting anti-colourism early)</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Faith &amp; dress</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Varied everyday dress — bindi, topi, turban, cross, and more — shown as equal</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Ability</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Children with wheelchairs, glasses, hearing aids as everyday friends</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&amp; size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Different heights and body types, all positive</w:t>
            </w:r>
          </w:p>
        </w:tc>
      </w:tr>
      <w:tr>
        <w:trPr>
          <w:cantSplit/>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Life &amp; place</w:t>
            </w:r>
          </w:p>
        </w:tc>
        <w:tc>
          <w:tcPr>
            <w:tcW w:type="dxa" w:w="7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Urban and rural children, different homes and play</w:t>
            </w:r>
          </w:p>
        </w:tc>
      </w:tr>
    </w:tbl>
    <w:p>
      <w:pPr>
        <w:spacing w:after="140"/>
      </w:pPr>
    </w:p>
    <w:p>
      <w:pPr>
        <w:pStyle w:val="Heading1"/>
      </w:pPr>
      <w:r>
        <w:t xml:space="preserve">Appendix B — Sample Content</w:t>
      </w:r>
    </w:p>
    <w:p>
      <w:pPr>
        <w:spacing w:after="130"/>
      </w:pPr>
      <w:r>
        <w:t xml:space="preserve">A few ‘what do they share?’ pairs across the three layers (each ‘same’ lights a friendship thread).</w:t>
      </w:r>
    </w:p>
    <w:p>
      <w:pPr>
        <w:spacing w:after="120"/>
      </w:pPr>
      <w:r>
        <w:rPr>
          <w:b/>
          <w:bCs/>
        </w:rPr>
        <w:t xml:space="preserve">Layer 1 — Feelings. </w:t>
      </w:r>
      <w:r>
        <w:t xml:space="preserve">A boy and a girl: both can feel happy · both get scared in the dark · both can cry when sad.</w:t>
      </w:r>
    </w:p>
    <w:p>
      <w:pPr>
        <w:spacing w:after="120"/>
      </w:pPr>
      <w:r>
        <w:rPr>
          <w:b/>
          <w:bCs/>
        </w:rPr>
        <w:t xml:space="preserve">Layer 2 — Can-Do. </w:t>
      </w:r>
      <w:r>
        <w:t xml:space="preserve">A girl in a wheelchair and a boy: both can paint · both can be a scientist · both can score a goal. (Myth bubble: “Science is for boys!” → pop → “Anyone can!”)</w:t>
      </w:r>
    </w:p>
    <w:p>
      <w:pPr>
        <w:spacing w:after="120"/>
      </w:pPr>
      <w:r>
        <w:rPr>
          <w:b/>
          <w:bCs/>
        </w:rPr>
        <w:t xml:space="preserve">Layer 3 — Fair &amp; Safe. </w:t>
      </w:r>
      <w:r>
        <w:t xml:space="preserve">Two children of different faiths: both deserve a turn on the swing · both should be included in the game · both deserve to be safe and treated kindly.</w:t>
      </w:r>
    </w:p>
    <w:p>
      <w:pPr>
        <w:spacing w:after="120"/>
      </w:pPr>
      <w:r>
        <w:rPr>
          <w:b/>
          <w:bCs/>
        </w:rPr>
        <w:t xml:space="preserve">Make-a-Friend. </w:t>
      </w:r>
      <w:r>
        <w:t xml:space="preserve">The child builds a character who looks like them (or nothing like them), gives them a wheelchair or glasses if they choose, and watches them fly a plane and cook dinner.</w:t>
      </w:r>
    </w:p>
    <w:p>
      <w:pPr>
        <w:pStyle w:val="Heading1"/>
      </w:pPr>
      <w:r>
        <w:t xml:space="preserve">Appendix C — Glossary &amp; Sources</w:t>
      </w:r>
    </w:p>
    <w:p>
      <w:pPr>
        <w:spacing w:after="120"/>
      </w:pPr>
      <w:r>
        <w:rPr>
          <w:b/>
          <w:bCs/>
        </w:rPr>
        <w:t xml:space="preserve">Sam — </w:t>
      </w:r>
      <w:r>
        <w:t xml:space="preserve">the shape-shifting companion who embodies ‘different outside, same inside’.</w:t>
      </w:r>
    </w:p>
    <w:p>
      <w:pPr>
        <w:spacing w:after="120"/>
      </w:pPr>
      <w:r>
        <w:rPr>
          <w:b/>
          <w:bCs/>
        </w:rPr>
        <w:t xml:space="preserve">Friendship thread — </w:t>
      </w:r>
      <w:r>
        <w:t xml:space="preserve">the glowing link drawn between two children for each thing they share.</w:t>
      </w:r>
    </w:p>
    <w:p>
      <w:pPr>
        <w:spacing w:after="120"/>
      </w:pPr>
      <w:r>
        <w:rPr>
          <w:b/>
          <w:bCs/>
        </w:rPr>
        <w:t xml:space="preserve">Friendship Garden — </w:t>
      </w:r>
      <w:r>
        <w:t xml:space="preserve">the no-pressure, ever-growing visual progression (a flower per friendship).</w:t>
      </w:r>
    </w:p>
    <w:p>
      <w:pPr>
        <w:spacing w:after="120"/>
      </w:pPr>
      <w:r>
        <w:rPr>
          <w:b/>
          <w:bCs/>
        </w:rPr>
        <w:t xml:space="preserve">Make-a-Friend — </w:t>
      </w:r>
      <w:r>
        <w:t xml:space="preserve">the create-your-own-character feature (creation + identity + disability inclusion).</w:t>
      </w:r>
    </w:p>
    <w:p>
      <w:pPr>
        <w:spacing w:after="40"/>
      </w:pPr>
    </w:p>
    <w:p>
      <w:pPr>
        <w:spacing w:after="80"/>
      </w:pPr>
      <w:r>
        <w:t xml:space="preserve">UNESCO (2018) International Technical Guidance on Sexuality Education — ‘Understanding Gender’ (topic 3.1) &amp; ‘Relationships’ (topic 1.3). </w:t>
      </w:r>
      <w:hyperlink w:history="1" r:id="rId-tsllyrlwbkde3vaof2y8">
        <w:r>
          <w:rPr>
            <w:rStyle w:val="Hyperlink"/>
            <w:sz w:val="20"/>
            <w:szCs w:val="20"/>
          </w:rPr>
          <w:t xml:space="preserve">https://unesdoc.unesco.org/ark:/48223/pf0000260770</w:t>
        </w:r>
      </w:hyperlink>
    </w:p>
    <w:p>
      <w:pPr>
        <w:spacing w:after="80"/>
      </w:pPr>
      <w:r>
        <w:t xml:space="preserve">WHO Europe &amp; BZgA (2010) Standards for Sexuality Education in Europe — ages 0–6 guidance. </w:t>
      </w:r>
      <w:hyperlink w:history="1" r:id="rIdu9fbtuw1qxwfpzrkv9spo">
        <w:r>
          <w:rPr>
            <w:rStyle w:val="Hyperlink"/>
            <w:sz w:val="20"/>
            <w:szCs w:val="20"/>
          </w:rPr>
          <w:t xml:space="preserve">https://www.icmec.org/wp-content/uploads/2016/06/WHOStandards-for-Sexuality-Ed-in-Europe.pdf</w:t>
        </w:r>
      </w:hyperlink>
    </w:p>
    <w:p>
      <w:pPr>
        <w:spacing w:after="80"/>
      </w:pPr>
      <w:r>
        <w:t xml:space="preserve">Malone &amp; Lepper — intrinsic motivations for learning (curiosity, fantasy, control). </w:t>
      </w:r>
      <w:hyperlink w:history="1" r:id="rIdyg2_aepsco6gtjuclwriu">
        <w:r>
          <w:rPr>
            <w:rStyle w:val="Hyperlink"/>
            <w:sz w:val="20"/>
            <w:szCs w:val="20"/>
          </w:rPr>
          <w:t xml:space="preserve">https://pressbooks.pub/learningenvironmentsdesign/chapter/malone-lepper-making-learning-fun-a-taxonomy-of-intrinsic-motivations-for-learning/</w:t>
        </w:r>
      </w:hyperlink>
    </w:p>
    <w:p>
      <w:pPr>
        <w:spacing w:after="80"/>
      </w:pPr>
      <w:r>
        <w:t xml:space="preserve">Vlambeer — ‘The Art of Screenshake’ (game feel / juice). </w:t>
      </w:r>
      <w:hyperlink w:history="1" r:id="rIdjzjwqdcmhwbgmvi-n-wd-">
        <w:r>
          <w:rPr>
            <w:rStyle w:val="Hyperlink"/>
            <w:sz w:val="20"/>
            <w:szCs w:val="20"/>
          </w:rPr>
          <w:t xml:space="preserve">https://www.gamedeveloper.com/design/squeezing-more-juice-out-of-your-game-design-</w:t>
        </w:r>
      </w:hyperlink>
    </w:p>
    <w:p>
      <w:pPr>
        <w:spacing w:after="130"/>
      </w:pPr>
      <w:r>
        <w:rPr>
          <w:b/>
          <w:bCs/>
          <w:sz w:val="20"/>
          <w:szCs w:val="20"/>
        </w:rPr>
        <w:t xml:space="preserve">Delivery context: </w:t>
      </w:r>
      <w:r>
        <w:rPr>
          <w:sz w:val="20"/>
          <w:szCs w:val="20"/>
        </w:rPr>
        <w:t xml:space="preserve">Anganwadi / pre-school and family co-play; the opening lesson of the SwipeEd app (ages 3–6). Behaviour-only,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Same Same, Different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2E7D32"/>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sllyrlwbkde3vaof2y8" Type="http://schemas.openxmlformats.org/officeDocument/2006/relationships/hyperlink" Target="https://unesdoc.unesco.org/ark:/48223/pf0000260770" TargetMode="External"/><Relationship Id="rIdu9fbtuw1qxwfpzrkv9spo" Type="http://schemas.openxmlformats.org/officeDocument/2006/relationships/hyperlink" Target="https://www.icmec.org/wp-content/uploads/2016/06/WHOStandards-for-Sexuality-Ed-in-Europe.pdf" TargetMode="External"/><Relationship Id="rIdyg2_aepsco6gtjuclwriu" Type="http://schemas.openxmlformats.org/officeDocument/2006/relationships/hyperlink" Target="https://pressbooks.pub/learningenvironmentsdesign/chapter/malone-lepper-making-learning-fun-a-taxonomy-of-intrinsic-motivations-for-learning/" TargetMode="External"/><Relationship Id="rIdjzjwqdcmhwbgmvi-n-wd-" Type="http://schemas.openxmlformats.org/officeDocument/2006/relationships/hyperlink" Target="https://www.gamedeveloper.com/design/squeezing-more-juice-out-of-your-game-desig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Same, Different — Game Design Document (Ages 3–6)</dc:title>
  <dc:creator>Cowork</dc:creator>
  <cp:lastModifiedBy>Un-named</cp:lastModifiedBy>
  <cp:revision>1</cp:revision>
  <dcterms:created xsi:type="dcterms:W3CDTF">2026-06-19T06:39:32.227Z</dcterms:created>
  <dcterms:modified xsi:type="dcterms:W3CDTF">2026-06-19T06:39:32.228Z</dcterms:modified>
</cp:coreProperties>
</file>

<file path=docProps/custom.xml><?xml version="1.0" encoding="utf-8"?>
<Properties xmlns="http://schemas.openxmlformats.org/officeDocument/2006/custom-properties" xmlns:vt="http://schemas.openxmlformats.org/officeDocument/2006/docPropsVTypes"/>
</file>