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0E7490"/>
          <w:sz w:val="50"/>
          <w:szCs w:val="50"/>
        </w:rPr>
        <w:t xml:space="preserve">THE 15-YEAR JOURNEY</w:t>
      </w:r>
    </w:p>
    <w:p>
      <w:pPr>
        <w:spacing w:after="60"/>
        <w:jc w:val="center"/>
      </w:pPr>
      <w:r>
        <w:rPr>
          <w:color w:val="1F3864"/>
          <w:sz w:val="28"/>
          <w:szCs w:val="28"/>
        </w:rPr>
        <w:t xml:space="preserve">SwipeEd — Multi-Year Progression Design</w:t>
      </w:r>
    </w:p>
    <w:p>
      <w:pPr>
        <w:spacing w:after="60"/>
        <w:jc w:val="center"/>
      </w:pPr>
      <w:r>
        <w:rPr>
          <w:color w:val="595959"/>
          <w:sz w:val="21"/>
          <w:szCs w:val="21"/>
        </w:rPr>
        <w:t xml:space="preserve">How one child journeys through all 36 games, ages 3–18 — and the proposed order</w:t>
      </w:r>
    </w:p>
    <w:p>
      <w:pPr>
        <w:spacing w:after="420"/>
        <w:jc w:val="center"/>
      </w:pPr>
      <w:r>
        <w:rPr>
          <w:i/>
          <w:iCs/>
          <w:color w:val="595959"/>
          <w:sz w:val="20"/>
          <w:szCs w:val="20"/>
        </w:rPr>
        <w:t xml:space="preserve">Progression design + age-wise roadmap  •  Version 1.0</w:t>
      </w:r>
    </w:p>
    <w:p>
      <w:pPr>
        <w:spacing w:after="120"/>
        <w:jc w:val="center"/>
      </w:pPr>
      <w:r>
        <w:rPr>
          <w:b/>
          <w:bCs/>
          <w:sz w:val="20"/>
          <w:szCs w:val="20"/>
        </w:rPr>
        <w:t xml:space="preserve">The core idea</w:t>
      </w:r>
    </w:p>
    <w:p>
      <w:pPr>
        <w:spacing w:after="900"/>
        <w:jc w:val="center"/>
      </w:pPr>
      <w:r>
        <w:rPr>
          <w:i/>
          <w:iCs/>
          <w:sz w:val="22"/>
          <w:szCs w:val="22"/>
        </w:rPr>
        <w:t xml:space="preserve">“Stop thinking of it as 36 games in a row. Think of it as seven threads that spiral — each returning every couple of years with more depth — carried by one companion, one growing world, and one child who never has to start over.”</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Why a Flat Sequence Fails</w:t>
      </w:r>
    </w:p>
    <w:p>
      <w:pPr>
        <w:spacing w:after="130"/>
      </w:pPr>
      <w:r>
        <w:t xml:space="preserve">Imagine the naïve plan: a child plays game 1, then game 2, then game 3, all the way to game 36, over fourteen years. It would fall apart for four predictable reasons. The 36 games would feel like 36 disconnected apps. The child would hit long dead zones between age bands and quietly churn — the riskiest moments in any multi-year product are the gaps. Nothing would carry over, so there would be no felt sense of growth. And there would be no throughline, no companion, no reason to come back after a birthday. The fix is to stop designing a sequence of games and start designing one long, deepening journey.</w:t>
      </w:r>
    </w:p>
    <w:p>
      <w:pPr>
        <w:pStyle w:val="Heading1"/>
      </w:pPr>
      <w:r>
        <w:t xml:space="preserve">2. The Big Shift — a Spiral, Not a Ladder</w:t>
      </w:r>
    </w:p>
    <w:p>
      <w:pPr>
        <w:spacing w:after="130"/>
      </w:pPr>
      <w:r>
        <w:t xml:space="preserve">The single most important change is structural. Progression is not 36 rungs on a ladder; it is roughly seven thematic threads that spiral — each one returning every couple of years with more depth. A child does not ‘finish’ body-safety at age six; they meet it again at nine (puberty), at twelve (body image and consent), at fifteen (sexual consent). This is exactly Duolingo’s crown-level idea, scaled up to a whole childhood: the threads are the spine, and the 36 games are simply where each thread surfaces at each age. Designed this way, every game a fifteen-year-old plays visibly builds on one they played years earlier — the opposite of 36 silos.</w:t>
      </w:r>
    </w:p>
    <w:p>
      <w:pPr>
        <w:spacing w:after="130"/>
      </w:pPr>
      <w:r>
        <w:t xml:space="preserve">The seven threads:</w:t>
      </w:r>
    </w:p>
    <w:p>
      <w:pPr>
        <w:pStyle w:val="ListParagraph"/>
        <w:numPr>
          <w:ilvl w:val="0"/>
          <w:numId w:val="2"/>
        </w:numPr>
        <w:spacing w:after="60"/>
      </w:pPr>
      <w:r>
        <w:rPr>
          <w:sz w:val="21"/>
          <w:szCs w:val="21"/>
        </w:rPr>
        <w:t xml:space="preserve">A — My Body &amp; Growing Up</w:t>
      </w:r>
    </w:p>
    <w:p>
      <w:pPr>
        <w:pStyle w:val="ListParagraph"/>
        <w:numPr>
          <w:ilvl w:val="0"/>
          <w:numId w:val="2"/>
        </w:numPr>
        <w:spacing w:after="60"/>
      </w:pPr>
      <w:r>
        <w:rPr>
          <w:sz w:val="21"/>
          <w:szCs w:val="21"/>
        </w:rPr>
        <w:t xml:space="preserve">B — Safety, Consent &amp; Boundaries</w:t>
      </w:r>
    </w:p>
    <w:p>
      <w:pPr>
        <w:pStyle w:val="ListParagraph"/>
        <w:numPr>
          <w:ilvl w:val="0"/>
          <w:numId w:val="2"/>
        </w:numPr>
        <w:spacing w:after="60"/>
      </w:pPr>
      <w:r>
        <w:rPr>
          <w:sz w:val="21"/>
          <w:szCs w:val="21"/>
        </w:rPr>
        <w:t xml:space="preserve">C — Feelings &amp; Life Skills</w:t>
      </w:r>
    </w:p>
    <w:p>
      <w:pPr>
        <w:pStyle w:val="ListParagraph"/>
        <w:numPr>
          <w:ilvl w:val="0"/>
          <w:numId w:val="2"/>
        </w:numPr>
        <w:spacing w:after="60"/>
      </w:pPr>
      <w:r>
        <w:rPr>
          <w:sz w:val="21"/>
          <w:szCs w:val="21"/>
        </w:rPr>
        <w:t xml:space="preserve">D — Relationships</w:t>
      </w:r>
    </w:p>
    <w:p>
      <w:pPr>
        <w:pStyle w:val="ListParagraph"/>
        <w:numPr>
          <w:ilvl w:val="0"/>
          <w:numId w:val="2"/>
        </w:numPr>
        <w:spacing w:after="60"/>
      </w:pPr>
      <w:r>
        <w:rPr>
          <w:sz w:val="21"/>
          <w:szCs w:val="21"/>
        </w:rPr>
        <w:t xml:space="preserve">E — Gender &amp; Respect</w:t>
      </w:r>
    </w:p>
    <w:p>
      <w:pPr>
        <w:pStyle w:val="ListParagraph"/>
        <w:numPr>
          <w:ilvl w:val="0"/>
          <w:numId w:val="2"/>
        </w:numPr>
        <w:spacing w:after="60"/>
      </w:pPr>
      <w:r>
        <w:rPr>
          <w:sz w:val="21"/>
          <w:szCs w:val="21"/>
        </w:rPr>
        <w:t xml:space="preserve">F — Sexual &amp; Reproductive Health</w:t>
      </w:r>
    </w:p>
    <w:p>
      <w:pPr>
        <w:pStyle w:val="ListParagraph"/>
        <w:numPr>
          <w:ilvl w:val="0"/>
          <w:numId w:val="2"/>
        </w:numPr>
        <w:spacing w:after="60"/>
      </w:pPr>
      <w:r>
        <w:rPr>
          <w:sz w:val="21"/>
          <w:szCs w:val="21"/>
        </w:rPr>
        <w:t xml:space="preserve">G — Values, Rights &amp; Media</w:t>
      </w:r>
    </w:p>
    <w:p>
      <w:pPr>
        <w:pStyle w:val="Heading1"/>
      </w:pPr>
      <w:r>
        <w:t xml:space="preserve">3. The Progression Experience — Ten Design Moves</w:t>
      </w:r>
    </w:p>
    <w:p>
      <w:pPr>
        <w:spacing w:after="130"/>
      </w:pPr>
      <w:r>
        <w:t xml:space="preserve">With the spiral as the spine, ten mechanics (drawn from the play-to-learn toolkit, applied at the scale of years rather than minutes) turn the journey into something a child wants to keep walking.</w:t>
      </w:r>
    </w:p>
    <w:p>
      <w:pPr>
        <w:spacing w:after="120"/>
      </w:pPr>
      <w:r>
        <w:rPr>
          <w:b/>
          <w:bCs/>
        </w:rPr>
        <w:t xml:space="preserve">1. Spiral threads as the spine. </w:t>
      </w:r>
      <w:r>
        <w:t xml:space="preserve">Each thread has a visible ‘level’ that rises as the child meets it again at each age band — the macro version of crown levels, and the structural cure for ‘done it once’.</w:t>
      </w:r>
    </w:p>
    <w:p>
      <w:pPr>
        <w:spacing w:after="120"/>
      </w:pPr>
      <w:r>
        <w:rPr>
          <w:b/>
          <w:bCs/>
        </w:rPr>
        <w:t xml:space="preserve">2. A companion who grows up with the child. </w:t>
      </w:r>
      <w:r>
        <w:t xml:space="preserve">Sam — the shape-shifting friend from the very first game — evolves in look and voice as the child moves through the sections, and checks in after a gap. One relationship spanning fourteen years is the emotional throughline that no single game can provide.</w:t>
      </w:r>
    </w:p>
    <w:p>
      <w:pPr>
        <w:spacing w:after="120"/>
      </w:pPr>
      <w:r>
        <w:rPr>
          <w:b/>
          <w:bCs/>
        </w:rPr>
        <w:t xml:space="preserve">3. A world that grows for fourteen years. </w:t>
      </w:r>
      <w:r>
        <w:t xml:space="preserve">The child builds one cumulative artifact — a personal ‘World’ (a garden that becomes a neighbourhood that becomes a city) that gains a piece for every game completed and every thread levelled. At seventeen they can look back at everything built since age four. This is roguelike meta-progression at the scale of a childhood: ownership, and genuine epic meaning.</w:t>
      </w:r>
    </w:p>
    <w:p>
      <w:pPr>
        <w:spacing w:after="120"/>
      </w:pPr>
      <w:r>
        <w:rPr>
          <w:b/>
          <w:bCs/>
        </w:rPr>
        <w:t xml:space="preserve">4. Carryover and a cast that ages too. </w:t>
      </w:r>
      <w:r>
        <w:t xml:space="preserve">Recurring characters appear across games and grow up alongside the player — a friend made in ‘Same Same, Different’ at age four can reappear as a teenager in a relationships game at fourteen. Collectibles and skills from early games echo in later ones. This is what makes 36 games feel like one connected world.</w:t>
      </w:r>
    </w:p>
    <w:p>
      <w:pPr>
        <w:spacing w:after="120"/>
      </w:pPr>
      <w:r>
        <w:rPr>
          <w:b/>
          <w:bCs/>
        </w:rPr>
        <w:t xml:space="preserve">5. Chapters, seasons and capstones. </w:t>
      </w:r>
      <w:r>
        <w:t xml:space="preserve">Each age band is a Chapter that ends in a celebratory capstone — a ‘graduation’ that proves mastery and bridges to the next. Seasons align to the school year. Capstones turn the scary age-transition into a milestone the child is proud to reach.</w:t>
      </w:r>
    </w:p>
    <w:p>
      <w:pPr>
        <w:spacing w:after="120"/>
      </w:pPr>
      <w:r>
        <w:rPr>
          <w:b/>
          <w:bCs/>
        </w:rPr>
        <w:t xml:space="preserve">6. Re-engagement across the gaps (the hard part). </w:t>
      </w:r>
      <w:r>
        <w:t xml:space="preserve">The dead zones between bands are designed for: a ‘new Chapter unlocked’ moment at each birthday/grade, the companion checking in, gentle (never guilt-based) nudges, and ‘review runs’ that resurface old threads at new depth during quiet periods.</w:t>
      </w:r>
    </w:p>
    <w:p>
      <w:pPr>
        <w:spacing w:after="120"/>
      </w:pPr>
      <w:r>
        <w:rPr>
          <w:b/>
          <w:bCs/>
        </w:rPr>
        <w:t xml:space="preserve">7. Readiness, not just age. </w:t>
      </w:r>
      <w:r>
        <w:t xml:space="preserve">Age gates the Chapter; developmental dependency gates the order within and across it — feelings and body-safety before relationships, anatomy before reproduction, consent-as-respect before consent-in-relationships. The order in §4 follows these dependencies.</w:t>
      </w:r>
    </w:p>
    <w:p>
      <w:pPr>
        <w:spacing w:after="120"/>
      </w:pPr>
      <w:r>
        <w:rPr>
          <w:b/>
          <w:bCs/>
        </w:rPr>
        <w:t xml:space="preserve">8. Autonomy inside a Chapter. </w:t>
      </w:r>
      <w:r>
        <w:t xml:space="preserve">Within a band the path is semi-open: the child can choose the order of several games, which satisfies autonomy and competence, while cross-band gates keep the spiral intact.</w:t>
      </w:r>
    </w:p>
    <w:p>
      <w:pPr>
        <w:spacing w:after="120"/>
      </w:pPr>
      <w:r>
        <w:rPr>
          <w:b/>
          <w:bCs/>
        </w:rPr>
        <w:t xml:space="preserve">9. Cohort progression. </w:t>
      </w:r>
      <w:r>
        <w:t xml:space="preserve">In schools (e.g., via Ayushman Bharat), a class moves through a Chapter together, with effort-based class leagues and co-op capstones. Relatedness is what sustains a fourteen-year arc.</w:t>
      </w:r>
    </w:p>
    <w:p>
      <w:pPr>
        <w:spacing w:after="120"/>
      </w:pPr>
      <w:r>
        <w:rPr>
          <w:b/>
          <w:bCs/>
        </w:rPr>
        <w:t xml:space="preserve">10. White-hat, even across years. </w:t>
      </w:r>
      <w:r>
        <w:t xml:space="preserve">No fourteen-year guilt-streak, no FOMO, nothing to buy. The pull to return is curiosity, mastery, the growing world and the companion — sustainable motivation at the scale of a childhood, fitting a minors’ app.</w:t>
      </w:r>
    </w:p>
    <w:p>
      <w:r>
        <w:br w:type="page"/>
      </w:r>
    </w:p>
    <w:p>
      <w:pPr>
        <w:pStyle w:val="Heading1"/>
      </w:pPr>
      <w:r>
        <w:t xml:space="preserve">4. The Proposed Age-Wise Order (all 36 games)</w:t>
      </w:r>
    </w:p>
    <w:p>
      <w:pPr>
        <w:spacing w:after="130"/>
      </w:pPr>
      <w:r>
        <w:t xml:space="preserve">The full sequence, grouped into the five Chapters and ordered by developmental dependency. Each game is tagged with its primary thread (A–G) and a note on what it builds on. Games are not single sittings — each is a unit a child works through over weeks of short sessions and revisits later at higher depth.</w:t>
      </w:r>
    </w:p>
    <w:p>
      <w:pPr>
        <w:pStyle w:val="Heading2"/>
      </w:pPr>
      <w:r>
        <w:t xml:space="preserve">Chapter 1 — Ages 3–6  (‘My First Friends’)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80"/>
        <w:gridCol w:w="820"/>
        <w:gridCol w:w="5340"/>
      </w:tblGrid>
      <w:tr>
        <w:trPr>
          <w:cantSplit/>
          <w:tblHeader/>
        </w:trPr>
        <w:tc>
          <w:tcPr>
            <w:tcW w:type="dxa" w:w="52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w:t>
            </w:r>
          </w:p>
        </w:tc>
        <w:tc>
          <w:tcPr>
            <w:tcW w:type="dxa" w:w="268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Game</w:t>
            </w:r>
          </w:p>
        </w:tc>
        <w:tc>
          <w:tcPr>
            <w:tcW w:type="dxa" w:w="82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Thread</w:t>
            </w:r>
          </w:p>
        </w:tc>
        <w:tc>
          <w:tcPr>
            <w:tcW w:type="dxa" w:w="534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Why here / builds on</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1</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Feelings Friends</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C</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Name emotions and say ‘no’ — the base for everything that follows</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2</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My Body, My Rules</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A·B</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Your body is yours; safe vs unsafe touch; tell a trusted adult</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3</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My Family Garden</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D</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Families and friends; the kinds of love and care</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4</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Same Same, Different</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We’re equal inside; difference is wonderful</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5</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Can-Do Kids</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Anyone can do anything, whatever their gender</w:t>
            </w:r>
          </w:p>
        </w:tc>
      </w:tr>
    </w:tbl>
    <w:p>
      <w:pPr>
        <w:spacing w:after="140"/>
      </w:pPr>
    </w:p>
    <w:p>
      <w:pPr>
        <w:pStyle w:val="Heading2"/>
      </w:pPr>
      <w:r>
        <w:t xml:space="preserve">Chapter 2 — Ages 6–9  (‘Fair &amp; Safe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80"/>
        <w:gridCol w:w="820"/>
        <w:gridCol w:w="5340"/>
      </w:tblGrid>
      <w:tr>
        <w:trPr>
          <w:cantSplit/>
          <w:tblHeader/>
        </w:trPr>
        <w:tc>
          <w:tcPr>
            <w:tcW w:type="dxa" w:w="52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w:t>
            </w:r>
          </w:p>
        </w:tc>
        <w:tc>
          <w:tcPr>
            <w:tcW w:type="dxa" w:w="268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Game</w:t>
            </w:r>
          </w:p>
        </w:tc>
        <w:tc>
          <w:tcPr>
            <w:tcW w:type="dxa" w:w="82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Thread</w:t>
            </w:r>
          </w:p>
        </w:tc>
        <w:tc>
          <w:tcPr>
            <w:tcW w:type="dxa" w:w="534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Why here / builds on</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6</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Body Lab Juniors</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A</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How bodies work and grow — builds on My Body, My Rules</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7</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What Makes Me, Me</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Sex vs gender — the concept base for the whole gender thread</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8</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Safety Squad</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B</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Touch, privacy and online safety — builds on body-safety</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9</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Friend or Frenemy?</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D</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Healthy vs unhealthy friendships; communication</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10</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Fair Play World</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Sharing chores and opportunity fairly</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11</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Not Fair, Not Funny</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Gender teasing, and being an ally</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12</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Smart Screen Heroes</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G·F</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Media real-vs-pretend, choices, hygiene and caring</w:t>
            </w:r>
          </w:p>
        </w:tc>
      </w:tr>
    </w:tbl>
    <w:p>
      <w:pPr>
        <w:spacing w:after="140"/>
      </w:pPr>
    </w:p>
    <w:p>
      <w:pPr>
        <w:pStyle w:val="Heading2"/>
      </w:pPr>
      <w:r>
        <w:t xml:space="preserve">Chapter 3 — Ages 9–12  (‘Growing Up 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80"/>
        <w:gridCol w:w="820"/>
        <w:gridCol w:w="5340"/>
      </w:tblGrid>
      <w:tr>
        <w:trPr>
          <w:cantSplit/>
          <w:tblHeader/>
        </w:trPr>
        <w:tc>
          <w:tcPr>
            <w:tcW w:type="dxa" w:w="52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w:t>
            </w:r>
          </w:p>
        </w:tc>
        <w:tc>
          <w:tcPr>
            <w:tcW w:type="dxa" w:w="268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Game</w:t>
            </w:r>
          </w:p>
        </w:tc>
        <w:tc>
          <w:tcPr>
            <w:tcW w:type="dxa" w:w="82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Thread</w:t>
            </w:r>
          </w:p>
        </w:tc>
        <w:tc>
          <w:tcPr>
            <w:tcW w:type="dxa" w:w="534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Why here / builds on</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13</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Puberty Quest</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A</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Puberty — timely; builds on Body Lab Juniors</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14</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The Amazing Journey</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Reproduction — after anatomy and puberty</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15</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Boundary Bot</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B</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Consent, boundaries and online safety — builds on Safety Squad</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16</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Crossroads</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C·D</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Peer pressure, decisions and feelings</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17</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Flip the Script</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E·G</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Spot and remix gender stereotypes in media</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18</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Norm Storm</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Which social norms help, and which harm</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19</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Speak Up</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E·B</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Forms of gender-based harm, and where to get help</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20</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Defenders of the Body</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HIV and infections; reducing stigma</w:t>
            </w:r>
          </w:p>
        </w:tc>
      </w:tr>
    </w:tbl>
    <w:p>
      <w:pPr>
        <w:spacing w:after="140"/>
      </w:pPr>
    </w:p>
    <w:p>
      <w:pPr>
        <w:pStyle w:val="Heading2"/>
      </w:pPr>
      <w:r>
        <w:t xml:space="preserve">Chapter 4 — Ages 12–15  (‘Reading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80"/>
        <w:gridCol w:w="820"/>
        <w:gridCol w:w="5340"/>
      </w:tblGrid>
      <w:tr>
        <w:trPr>
          <w:cantSplit/>
          <w:tblHeader/>
        </w:trPr>
        <w:tc>
          <w:tcPr>
            <w:tcW w:type="dxa" w:w="52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w:t>
            </w:r>
          </w:p>
        </w:tc>
        <w:tc>
          <w:tcPr>
            <w:tcW w:type="dxa" w:w="268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Game</w:t>
            </w:r>
          </w:p>
        </w:tc>
        <w:tc>
          <w:tcPr>
            <w:tcW w:type="dxa" w:w="82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Thread</w:t>
            </w:r>
          </w:p>
        </w:tc>
        <w:tc>
          <w:tcPr>
            <w:tcW w:type="dxa" w:w="534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Why here / builds on</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21</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Body Confident</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A</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Puberty in depth and body image</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22</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Plan It</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Fertility, pregnancy and contraception — builds on The Amazing Journey</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23</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Outbreak: Stop the Spread</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STIs and HIV — builds on Defenders of the Body</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24</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Green Light / Red Light</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B·D</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Reading healthy vs unhealthy relationships (flagship; builds on Boundary Bot + Friend or Frenemy?)</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25</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MythBuster: Gender</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Bust the gender myths teens now hear constantly</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26</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Equalize</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Equality pays off; child marriage — builds on Fair Play / Norm Storm</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27</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Stand Up</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E·B</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Gender-based violence: bystander action and rights — builds on Speak Up</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28</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Reality Check</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C·G</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Decisions, media &amp; pornography literacy, finding help</w:t>
            </w:r>
          </w:p>
        </w:tc>
      </w:tr>
    </w:tbl>
    <w:p>
      <w:pPr>
        <w:spacing w:after="140"/>
      </w:pPr>
    </w:p>
    <w:p>
      <w:pPr>
        <w:pStyle w:val="Heading2"/>
      </w:pPr>
      <w:r>
        <w:t xml:space="preserve">Chapter 5 — Ages 15–18  (‘Ready for the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80"/>
        <w:gridCol w:w="820"/>
        <w:gridCol w:w="5340"/>
      </w:tblGrid>
      <w:tr>
        <w:trPr>
          <w:cantSplit/>
          <w:tblHeader/>
        </w:trPr>
        <w:tc>
          <w:tcPr>
            <w:tcW w:type="dxa" w:w="52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w:t>
            </w:r>
          </w:p>
        </w:tc>
        <w:tc>
          <w:tcPr>
            <w:tcW w:type="dxa" w:w="268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Game</w:t>
            </w:r>
          </w:p>
        </w:tc>
        <w:tc>
          <w:tcPr>
            <w:tcW w:type="dxa" w:w="82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Thread</w:t>
            </w:r>
          </w:p>
        </w:tc>
        <w:tc>
          <w:tcPr>
            <w:tcW w:type="dxa" w:w="534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Why here / builds on</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29</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My Choices, My Future</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Contraception, family planning and services — builds on Plan It</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30</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Status: Know It</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STI/HIV testing and treatment — builds on Outbreak</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31</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Mutual</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B·D</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Sexual consent, legal age and relationships — builds on Green Light / Red Light</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32</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Spectrum</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D·E</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Identity, orientation and respect</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33</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Lead the Way</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Structural equality: the pay gap, leadership, unpaid care</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34</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Change Makers</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Campaign against GBV and inequality; the law — builds on Equalize</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35</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Justice League: Rights Edition</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E·G</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Rights and redress pathways — builds on Stand Up</w:t>
            </w:r>
          </w:p>
        </w:tc>
      </w:tr>
      <w:tr>
        <w:trPr>
          <w:cantSplit/>
        </w:trPr>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36</w:t>
            </w:r>
          </w:p>
        </w:tc>
        <w:tc>
          <w:tcPr>
            <w:tcW w:type="dxa" w:w="2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Decoded</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G</w:t>
            </w:r>
          </w:p>
        </w:tc>
        <w:tc>
          <w:tcPr>
            <w:tcW w:type="dxa" w:w="53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Pornography and critical thinking online — builds on Reality Check</w:t>
            </w:r>
          </w:p>
        </w:tc>
      </w:tr>
    </w:tbl>
    <w:p>
      <w:pPr>
        <w:spacing w:after="140"/>
      </w:pPr>
    </w:p>
    <w:p>
      <w:r>
        <w:br w:type="page"/>
      </w:r>
    </w:p>
    <w:p>
      <w:pPr>
        <w:pStyle w:val="Heading1"/>
      </w:pPr>
      <w:r>
        <w:t xml:space="preserve">5. The Spiral Threads at a Glance</w:t>
      </w:r>
    </w:p>
    <w:p>
      <w:pPr>
        <w:spacing w:after="130"/>
      </w:pPr>
      <w:r>
        <w:t xml:space="preserve">The same seven threads, shown deepening across the five Chapters. Read each row left-to-right to see a single idea grow up with the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1500"/>
        <w:gridCol w:w="1540"/>
        <w:gridCol w:w="1540"/>
        <w:gridCol w:w="1560"/>
        <w:gridCol w:w="1580"/>
      </w:tblGrid>
      <w:tr>
        <w:trPr>
          <w:cantSplit/>
          <w:tblHeader/>
        </w:trPr>
        <w:tc>
          <w:tcPr>
            <w:tcW w:type="dxa" w:w="164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Thread</w:t>
            </w:r>
          </w:p>
        </w:tc>
        <w:tc>
          <w:tcPr>
            <w:tcW w:type="dxa" w:w="150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3–6</w:t>
            </w:r>
          </w:p>
        </w:tc>
        <w:tc>
          <w:tcPr>
            <w:tcW w:type="dxa" w:w="154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6–9</w:t>
            </w:r>
          </w:p>
        </w:tc>
        <w:tc>
          <w:tcPr>
            <w:tcW w:type="dxa" w:w="154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9–12</w:t>
            </w:r>
          </w:p>
        </w:tc>
        <w:tc>
          <w:tcPr>
            <w:tcW w:type="dxa" w:w="156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12–15</w:t>
            </w:r>
          </w:p>
        </w:tc>
        <w:tc>
          <w:tcPr>
            <w:tcW w:type="dxa" w:w="158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15–18</w:t>
            </w:r>
          </w:p>
        </w:tc>
      </w:tr>
      <w:tr>
        <w:trPr>
          <w:cantSplit/>
        </w:trPr>
        <w:tc>
          <w:tcPr>
            <w:tcW w:type="dxa" w:w="16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A · Body &amp; Growing Up</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My Body, My Rules</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Body Lab Juniors</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Puberty Quest</w:t>
            </w:r>
          </w:p>
        </w:tc>
        <w:tc>
          <w:tcPr>
            <w:tcW w:type="dxa" w:w="1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Body Confident</w:t>
            </w:r>
          </w:p>
        </w:tc>
        <w:tc>
          <w:tcPr>
            <w:tcW w:type="dxa" w:w="1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(within SRH)</w:t>
            </w:r>
          </w:p>
        </w:tc>
      </w:tr>
      <w:tr>
        <w:trPr>
          <w:cantSplit/>
        </w:trPr>
        <w:tc>
          <w:tcPr>
            <w:tcW w:type="dxa" w:w="16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B · Safety &amp; Consent</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(safe touch)</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Safety Squad</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Boundary Bot</w:t>
            </w:r>
          </w:p>
        </w:tc>
        <w:tc>
          <w:tcPr>
            <w:tcW w:type="dxa" w:w="1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Green Light / Red Light</w:t>
            </w:r>
          </w:p>
        </w:tc>
        <w:tc>
          <w:tcPr>
            <w:tcW w:type="dxa" w:w="1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Mutual</w:t>
            </w:r>
          </w:p>
        </w:tc>
      </w:tr>
      <w:tr>
        <w:trPr>
          <w:cantSplit/>
        </w:trPr>
        <w:tc>
          <w:tcPr>
            <w:tcW w:type="dxa" w:w="16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C · Feelings &amp; Skills</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Feelings Friends</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Friend or Frenemy?</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Crossroads</w:t>
            </w:r>
          </w:p>
        </w:tc>
        <w:tc>
          <w:tcPr>
            <w:tcW w:type="dxa" w:w="1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Reality Check</w:t>
            </w:r>
          </w:p>
        </w:tc>
        <w:tc>
          <w:tcPr>
            <w:tcW w:type="dxa" w:w="1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(woven in)</w:t>
            </w:r>
          </w:p>
        </w:tc>
      </w:tr>
      <w:tr>
        <w:trPr>
          <w:cantSplit/>
        </w:trPr>
        <w:tc>
          <w:tcPr>
            <w:tcW w:type="dxa" w:w="16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D · Relationships</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My Family Garden</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Friend or Frenemy?</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Crossroads</w:t>
            </w:r>
          </w:p>
        </w:tc>
        <w:tc>
          <w:tcPr>
            <w:tcW w:type="dxa" w:w="1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Green Light / Red Light</w:t>
            </w:r>
          </w:p>
        </w:tc>
        <w:tc>
          <w:tcPr>
            <w:tcW w:type="dxa" w:w="1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Mutual · Spectrum</w:t>
            </w:r>
          </w:p>
        </w:tc>
      </w:tr>
      <w:tr>
        <w:trPr>
          <w:cantSplit/>
        </w:trPr>
        <w:tc>
          <w:tcPr>
            <w:tcW w:type="dxa" w:w="16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E · Gender &amp; Respect</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Same Same Different · Can-Do Kids</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What Makes Me Me · Fair Play · Not Fair Not Funny</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Flip the Script · Norm Storm · Speak Up</w:t>
            </w:r>
          </w:p>
        </w:tc>
        <w:tc>
          <w:tcPr>
            <w:tcW w:type="dxa" w:w="1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MythBuster · Equalize · Stand Up</w:t>
            </w:r>
          </w:p>
        </w:tc>
        <w:tc>
          <w:tcPr>
            <w:tcW w:type="dxa" w:w="1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Lead the Way · Change Makers · Justice League</w:t>
            </w:r>
          </w:p>
        </w:tc>
      </w:tr>
      <w:tr>
        <w:trPr>
          <w:cantSplit/>
        </w:trPr>
        <w:tc>
          <w:tcPr>
            <w:tcW w:type="dxa" w:w="16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 · SRH &amp; Health</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Smart Screen (health)</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Amazing Journey · Defenders</w:t>
            </w:r>
          </w:p>
        </w:tc>
        <w:tc>
          <w:tcPr>
            <w:tcW w:type="dxa" w:w="1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Plan It · Outbreak</w:t>
            </w:r>
          </w:p>
        </w:tc>
        <w:tc>
          <w:tcPr>
            <w:tcW w:type="dxa" w:w="1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My Choices · Status: Know It</w:t>
            </w:r>
          </w:p>
        </w:tc>
      </w:tr>
      <w:tr>
        <w:trPr>
          <w:cantSplit/>
        </w:trPr>
        <w:tc>
          <w:tcPr>
            <w:tcW w:type="dxa" w:w="16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G · Values, Rights &amp; Media</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Smart Screen Heroes</w:t>
            </w:r>
          </w:p>
        </w:tc>
        <w:tc>
          <w:tcPr>
            <w:tcW w:type="dxa" w:w="154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Flip the Script</w:t>
            </w:r>
          </w:p>
        </w:tc>
        <w:tc>
          <w:tcPr>
            <w:tcW w:type="dxa" w:w="1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Reality Check</w:t>
            </w:r>
          </w:p>
        </w:tc>
        <w:tc>
          <w:tcPr>
            <w:tcW w:type="dxa" w:w="1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Decoded · Justice League</w:t>
            </w:r>
          </w:p>
        </w:tc>
      </w:tr>
    </w:tbl>
    <w:p>
      <w:pPr>
        <w:spacing w:after="140"/>
      </w:pPr>
    </w:p>
    <w:p>
      <w:pPr>
        <w:spacing w:after="130"/>
      </w:pPr>
      <w:r>
        <w:rPr>
          <w:b/>
          <w:bCs/>
        </w:rPr>
        <w:t xml:space="preserve">Reading the spiral. </w:t>
      </w:r>
      <w:r>
        <w:t xml:space="preserve">Thread B is the clearest example: ‘my body is mine’ at age four becomes online safety at eight, consent and boundaries at ten, reading a relationship at thirteen, and sexual consent and the law at sixteen — one idea, five depths, never re-taught from scratch.</w:t>
      </w:r>
    </w:p>
    <w:p>
      <w:pPr>
        <w:pStyle w:val="Heading1"/>
      </w:pPr>
      <w:r>
        <w:t xml:space="preserve">6. Pacing Across the Years</w:t>
      </w:r>
    </w:p>
    <w:p>
      <w:pPr>
        <w:spacing w:after="130"/>
      </w:pPr>
      <w:r>
        <w:t xml:space="preserve">The 36 games are spread 5 / 7 / 8 / 8 / 8 across the bands — lighter for the youngest, richer for older children, which matches both attention spans and curriculum load. But a ‘game’ is not one sitting: each is a unit a child works through over weeks of short daily sessions (3–6 minutes), and then revisits at a higher thread-level later. Across a Chapter of roughly two to three years, that is a comfortable, unhurried cadence — a handful of games a year, each deepening on return.</w:t>
      </w:r>
    </w:p>
    <w:p>
      <w:pPr>
        <w:spacing w:after="130"/>
      </w:pPr>
      <w:r>
        <w:t xml:space="preserve">Seasons follow the school year, so classroom cohorts and the Ayushman Bharat weekly hour map naturally onto Chapters. The transition between Chapters — the moment a child ‘ages up’ a band — is treated as a celebration, not a silent unlock, because those transitions are exactly where multi-year products lose people.</w:t>
      </w:r>
    </w:p>
    <w:p>
      <w:pPr>
        <w:pStyle w:val="Heading1"/>
      </w:pPr>
      <w:r>
        <w:t xml:space="preserve">7. Capstones &amp; the Final Artifact</w:t>
      </w:r>
    </w:p>
    <w:p>
      <w:pPr>
        <w:spacing w:after="130"/>
      </w:pPr>
      <w:r>
        <w:t xml:space="preserve">Each Chapter ends with a capstone that celebrates mastery and bridges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Chapter</w:t>
            </w:r>
          </w:p>
        </w:tc>
        <w:tc>
          <w:tcPr>
            <w:tcW w:type="dxa" w:w="7660"/>
            <w:tcBorders>
              <w:top w:val="single" w:color="BBBBBB" w:sz="1"/>
              <w:left w:val="single" w:color="BBBBBB" w:sz="1"/>
              <w:bottom w:val="single" w:color="BBBBBB" w:sz="1"/>
              <w:right w:val="single" w:color="BBBBBB" w:sz="1"/>
            </w:tcBorders>
            <w:shd w:fill="0E7490" w:val="clear"/>
            <w:tcMar>
              <w:top w:type="dxa" w:w="60"/>
              <w:left w:type="dxa" w:w="90"/>
              <w:bottom w:type="dxa" w:w="60"/>
              <w:right w:type="dxa" w:w="90"/>
            </w:tcMar>
          </w:tcPr>
          <w:p>
            <w:r>
              <w:rPr>
                <w:b/>
                <w:bCs/>
                <w:color w:val="FFFFFF"/>
                <w:sz w:val="18"/>
                <w:szCs w:val="18"/>
              </w:rPr>
              <w:t xml:space="preserve">Capstone milestone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3–6</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‘My First Friends’ — the Friendship Garden blooms; ‘I know my feelings, my body is mine, everyone’s equal’</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6–9</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‘Fair &amp; Safe Explorer’ — staying safe, being fair, being a good friend</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9–12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‘Growing Up Smart’ — my changing body, consent, healthy choices</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12–15</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‘Reading Relationships’ — spotting green and red flags, equality, staying healthy</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15–18</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8"/>
                <w:szCs w:val="18"/>
              </w:rPr>
              <w:t xml:space="preserve">‘Ready for the World’ — rights, relationships, health and a look back at the whole world built since age four</w:t>
            </w:r>
          </w:p>
        </w:tc>
      </w:tr>
    </w:tbl>
    <w:p>
      <w:pPr>
        <w:spacing w:after="140"/>
      </w:pPr>
    </w:p>
    <w:p>
      <w:pPr>
        <w:spacing w:after="130"/>
      </w:pPr>
      <w:r>
        <w:t xml:space="preserve">That final look-back is the payoff of the persistent world: at eighteen, the player scrolls through fourteen years of growth — every friend met, every thread climbed, every capstone earned — a keepsake of who they became, and the strongest possible argument that the journey was worth walking.</w:t>
      </w:r>
    </w:p>
    <w:p>
      <w:pPr>
        <w:pStyle w:val="Heading1"/>
      </w:pPr>
      <w:r>
        <w:t xml:space="preserve">8. In Short</w:t>
      </w:r>
    </w:p>
    <w:p>
      <w:pPr>
        <w:spacing w:after="130"/>
      </w:pPr>
      <w:r>
        <w:t xml:space="preserve">Six moves turn 36 games into one journey: make it a spiral of seven deepening threads; give it a companion who grows up with the child; let one world accumulate for fourteen years; carry characters and skills across games; mark each band with a capstone; and design the gaps between bands as carefully as the games themselves. Do that, and a child does not play 36 separate games — they grow up with one.</w:t>
      </w:r>
    </w:p>
    <w:p>
      <w:r>
        <w:br w:type="page"/>
      </w:r>
    </w:p>
    <w:p>
      <w:pPr>
        <w:pStyle w:val="Heading1"/>
      </w:pPr>
      <w:r>
        <w:t xml:space="preserve">Appendix — The Order at a Glance &amp; Sources</w:t>
      </w:r>
    </w:p>
    <w:p>
      <w:pPr>
        <w:pStyle w:val="Heading2"/>
      </w:pPr>
      <w:r>
        <w:t xml:space="preserve">All 36 games, in order</w:t>
      </w:r>
    </w:p>
    <w:p>
      <w:pPr>
        <w:spacing w:after="130"/>
      </w:pPr>
      <w:r>
        <w:t xml:space="preserve">Ch.1 (3–6): 1 Feelings Friends · 2 My Body, My Rules · 3 My Family Garden · 4 Same Same, Different · 5 Can-Do Kids.</w:t>
      </w:r>
    </w:p>
    <w:p>
      <w:pPr>
        <w:spacing w:after="130"/>
      </w:pPr>
      <w:r>
        <w:t xml:space="preserve">Ch.2 (6–9): 6 Body Lab Juniors · 7 What Makes Me, Me · 8 Safety Squad · 9 Friend or Frenemy? · 10 Fair Play World · 11 Not Fair, Not Funny · 12 Smart Screen Heroes.</w:t>
      </w:r>
    </w:p>
    <w:p>
      <w:pPr>
        <w:spacing w:after="130"/>
      </w:pPr>
      <w:r>
        <w:t xml:space="preserve">Ch.3 (9–12): 13 Puberty Quest · 14 The Amazing Journey · 15 Boundary Bot · 16 Crossroads · 17 Flip the Script · 18 Norm Storm · 19 Speak Up · 20 Defenders of the Body.</w:t>
      </w:r>
    </w:p>
    <w:p>
      <w:pPr>
        <w:spacing w:after="130"/>
      </w:pPr>
      <w:r>
        <w:t xml:space="preserve">Ch.4 (12–15): 21 Body Confident · 22 Plan It · 23 Outbreak · 24 Green Light / Red Light · 25 MythBuster: Gender · 26 Equalize · 27 Stand Up · 28 Reality Check.</w:t>
      </w:r>
    </w:p>
    <w:p>
      <w:pPr>
        <w:spacing w:after="130"/>
      </w:pPr>
      <w:r>
        <w:t xml:space="preserve">Ch.5 (15–18): 29 My Choices, My Future · 30 Status: Know It · 31 Mutual · 32 Spectrum · 33 Lead the Way · 34 Change Makers · 35 Justice League · 36 Decoded.</w:t>
      </w:r>
    </w:p>
    <w:p>
      <w:pPr>
        <w:pStyle w:val="Heading2"/>
      </w:pPr>
      <w:r>
        <w:t xml:space="preserve">Sources &amp; basis</w:t>
      </w:r>
    </w:p>
    <w:p>
      <w:pPr>
        <w:spacing w:after="80"/>
      </w:pPr>
      <w:r>
        <w:t xml:space="preserve">Curriculum spine: UNESCO (2018) International Technical Guidance on Sexuality Education — 8 concepts / 27 topics, across five age bands (WHO Europe for ages 3–6).</w:t>
      </w:r>
    </w:p>
    <w:p>
      <w:pPr>
        <w:spacing w:after="80"/>
      </w:pPr>
      <w:r>
        <w:t xml:space="preserve">Progression mechanics: spiral curriculum + crown-level mastery (Duolingo); run/meta-progression (Slay the Spire, Hades); intrinsic integration (Habgood); Self-Determination Theory (autonomy, competence, relatedness). See the project’s Play-to-Learn Mechanics Playbook.</w:t>
      </w:r>
    </w:p>
    <w:p>
      <w:pPr>
        <w:spacing w:after="80"/>
      </w:pPr>
      <w:r>
        <w:t xml:space="preserve">Delivery context: the SwipeEd micro-learning app; Ayushman Bharat School Health &amp; Wellness Programme; Anganwadi / family co-play for the youngest Chapter.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SwipeEd — The 15-Year Journey (Multi-Year Progression Design)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E7490"/>
      <w:sz w:val="30"/>
      <w:szCs w:val="30"/>
    </w:rPr>
  </w:style>
  <w:style w:type="paragraph" w:styleId="Heading2">
    <w:name w:val="Heading 2"/>
    <w:basedOn w:val="Normal"/>
    <w:next w:val="Normal"/>
    <w:qFormat/>
    <w:pPr>
      <w:spacing w:after="80" w:before="17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SwipeEd — The 15-Year Journey (Multi-Year Progression Design)</dc:title>
  <dc:creator>Cowork</dc:creator>
  <cp:lastModifiedBy>Un-named</cp:lastModifiedBy>
  <cp:revision>1</cp:revision>
  <dcterms:created xsi:type="dcterms:W3CDTF">2026-06-19T06:55:17.409Z</dcterms:created>
  <dcterms:modified xsi:type="dcterms:W3CDTF">2026-06-19T06:55:17.409Z</dcterms:modified>
</cp:coreProperties>
</file>

<file path=docProps/custom.xml><?xml version="1.0" encoding="utf-8"?>
<Properties xmlns="http://schemas.openxmlformats.org/officeDocument/2006/custom-properties" xmlns:vt="http://schemas.openxmlformats.org/officeDocument/2006/docPropsVTypes"/>
</file>