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Design Doc: Search Result Ranking Cache</w:t>
      </w:r>
    </w:p>
    <w:p>
      <w:pPr>
        <w:pStyle w:val="Heading2"/>
      </w:pPr>
      <w:r>
        <w:t>Background</w:t>
      </w:r>
    </w:p>
    <w:p>
      <w:r>
        <w:t>The search service recomputes ranking scores for every query, even when the same query was served seconds earlier with an identical result set. Under peak traffic, this repeated computation accounts for a significant share of total CPU time in the ranking tier, and the on-call rotation has flagged ranking latency as a recurring contributor to p99 regressions during traffic spikes. Three separate incidents in the last quarter traced back to ranking tier saturation during otherwise-normal traffic bursts, not infrastructure failure.</w:t>
      </w:r>
    </w:p>
    <w:p>
      <w:r>
        <w:t>This document proposes a short-lived cache in front of the ranking computation, keyed on the normalized query plus the result set fingerprint, so that repeated identical ranking requests within a short window are served from cache rather than recomputed.</w:t>
      </w:r>
    </w:p>
    <w:p>
      <w:pPr>
        <w:pStyle w:val="Heading2"/>
      </w:pPr>
      <w:r>
        <w:t>Requirements</w:t>
      </w:r>
    </w:p>
    <w:p>
      <w:r>
        <w:t>REQ-101: Cache hits must return byte-identical ranking output to what the uncached path would have produced for the same input — the cache is a performance optimization, not an approximation.</w:t>
      </w:r>
    </w:p>
    <w:p>
      <w:r>
        <w:t>REQ-102: A cache entry must never be served once the underlying result set fingerprint changes, even if the query string is unchanged.</w:t>
      </w:r>
    </w:p>
    <w:p>
      <w:r>
        <w:t>REQ-103: Cache unavailability (eviction storm, backing store outage) must fail open to the existing uncached ranking path, never fail the request.</w:t>
      </w:r>
    </w:p>
    <w:p>
      <w:pPr>
        <w:pStyle w:val="Heading2"/>
      </w:pPr>
      <w:r>
        <w:t>Cache Key Design</w:t>
      </w:r>
    </w:p>
    <w:p>
      <w:r>
        <w:t>**Decision:** the cache key is the tuple (normalized_query, result_set_fingerprint), not the raw query string alone. Using the raw query string alone was rejected because two requests with the same query text can legitimately have different underlying result sets (personalization, A/B experiment membership, index updates between requests), and REQ-102 explicitly forbids serving a stale ranking for a changed result set.</w:t>
      </w:r>
    </w:p>
    <w:p>
      <w:pPr/>
      <w:r>
        <w:t>Supported cache backends considered:</w:t>
      </w:r>
    </w:p>
    <w:p>
      <w:pPr>
        <w:pStyle w:val="ListBullet"/>
      </w:pPr>
      <w:r>
        <w:t>In-process LRU cache, per ranking-tier instance</w:t>
      </w:r>
    </w:p>
    <w:p>
      <w:pPr>
        <w:pStyle w:val="ListBullet"/>
      </w:pPr>
      <w:r>
        <w:t>Shared Redis cache across the ranking tier</w:t>
      </w:r>
    </w:p>
    <w:p>
      <w:pPr>
        <w:pStyle w:val="ListBullet"/>
      </w:pPr>
      <w:r>
        <w:t>A hybrid: in-process L1 backed by shared L2</w:t>
      </w:r>
    </w:p>
    <w:p>
      <w:pPr>
        <w:pStyle w:val="Heading2"/>
      </w:pPr>
      <w:r>
        <w:t>Rollout Steps</w:t>
      </w:r>
    </w:p>
    <w:p>
      <w:pPr>
        <w:pStyle w:val="ListNumber"/>
      </w:pPr>
      <w:r>
        <w:t>Ship the cache behind a per-datacenter feature flag, default off</w:t>
      </w:r>
    </w:p>
    <w:p>
      <w:pPr>
        <w:pStyle w:val="ListNumber"/>
      </w:pPr>
      <w:r>
        <w:t>Enable in the lowest-traffic datacenter first and compare p50/p99 for one week</w:t>
      </w:r>
    </w:p>
    <w:p>
      <w:pPr>
        <w:pStyle w:val="ListNumber"/>
      </w:pPr>
      <w:r>
        <w:t>Roll out to remaining datacenters only after a clean comparison week</w:t>
      </w:r>
    </w:p>
    <w:p>
      <w:pPr>
        <w:pStyle w:val="Heading2"/>
      </w:pPr>
      <w:r>
        <w:t>Cache Backend Comparison</w:t>
      </w:r>
    </w:p>
    <w:tbl>
      <w:tblPr>
        <w:tblW w:type="auto" w:w="0"/>
        <w:tblLook w:firstColumn="1" w:firstRow="1" w:lastColumn="0" w:lastRow="0" w:noHBand="0" w:noVBand="1" w:val="04A0"/>
      </w:tblPr>
      <w:tblGrid>
        <w:gridCol w:w="2880"/>
        <w:gridCol w:w="2880"/>
        <w:gridCol w:w="2880"/>
      </w:tblGrid>
      <w:tr>
        <w:tc>
          <w:tcPr>
            <w:tcW w:type="dxa" w:w="2880"/>
          </w:tcPr>
          <w:p>
            <w:r>
              <w:t>Backend</w:t>
            </w:r>
          </w:p>
        </w:tc>
        <w:tc>
          <w:tcPr>
            <w:tcW w:type="dxa" w:w="2880"/>
          </w:tcPr>
          <w:p>
            <w:r>
              <w:t>Hit latency</w:t>
            </w:r>
          </w:p>
        </w:tc>
        <w:tc>
          <w:tcPr>
            <w:tcW w:type="dxa" w:w="2880"/>
          </w:tcPr>
          <w:p>
            <w:r>
              <w:t>Cross-instance sharing</w:t>
            </w:r>
          </w:p>
        </w:tc>
      </w:tr>
      <w:tr>
        <w:tc>
          <w:tcPr>
            <w:tcW w:type="dxa" w:w="2880"/>
          </w:tcPr>
          <w:p>
            <w:r>
              <w:t>In-process LRU</w:t>
            </w:r>
          </w:p>
        </w:tc>
        <w:tc>
          <w:tcPr>
            <w:tcW w:type="dxa" w:w="2880"/>
          </w:tcPr>
          <w:p>
            <w:r>
              <w:t>~50us</w:t>
            </w:r>
          </w:p>
        </w:tc>
        <w:tc>
          <w:tcPr>
            <w:tcW w:type="dxa" w:w="2880"/>
          </w:tcPr>
          <w:p>
            <w:r>
              <w:t>No</w:t>
            </w:r>
          </w:p>
        </w:tc>
      </w:tr>
      <w:tr>
        <w:tc>
          <w:tcPr>
            <w:tcW w:type="dxa" w:w="2880"/>
          </w:tcPr>
          <w:p>
            <w:r>
              <w:t>Shared Redis</w:t>
            </w:r>
          </w:p>
        </w:tc>
        <w:tc>
          <w:tcPr>
            <w:tcW w:type="dxa" w:w="2880"/>
          </w:tcPr>
          <w:p>
            <w:r>
              <w:t>~800us</w:t>
            </w:r>
          </w:p>
        </w:tc>
        <w:tc>
          <w:tcPr>
            <w:tcW w:type="dxa" w:w="2880"/>
          </w:tcPr>
          <w:p>
            <w:r>
              <w:t>Yes</w:t>
            </w:r>
          </w:p>
        </w:tc>
      </w:tr>
      <w:tr>
        <w:tc>
          <w:tcPr>
            <w:tcW w:type="dxa" w:w="2880"/>
          </w:tcPr>
          <w:p>
            <w:r>
              <w:t>Hybrid L1/L2</w:t>
            </w:r>
          </w:p>
        </w:tc>
        <w:tc>
          <w:tcPr>
            <w:tcW w:type="dxa" w:w="2880"/>
          </w:tcPr>
          <w:p>
            <w:r>
              <w:t>~50us (L1) / ~800us (L2)</w:t>
            </w:r>
          </w:p>
        </w:tc>
        <w:tc>
          <w:tcPr>
            <w:tcW w:type="dxa" w:w="2880"/>
          </w:tcPr>
          <w:p>
            <w:r>
              <w:t>Yes (via L2)</w:t>
            </w:r>
          </w:p>
        </w:tc>
      </w:tr>
    </w:tbl>
    <w:p>
      <w:pPr>
        <w:pStyle w:val="Heading2"/>
      </w:pPr>
      <w:r>
        <w:t>Reference Implementation Sketch</w:t>
      </w:r>
    </w:p>
    <w:p>
      <w:r>
        <w:rPr>
          <w:rFonts w:ascii="Consolas" w:hAnsi="Consolas"/>
        </w:rPr>
        <w:t>def ranking_cache_key(query, result_set):</w:t>
      </w:r>
    </w:p>
    <w:p>
      <w:r>
        <w:rPr>
          <w:rFonts w:ascii="Consolas" w:hAnsi="Consolas"/>
        </w:rPr>
        <w:t xml:space="preserve">    normalized = normalize_query(query)</w:t>
      </w:r>
    </w:p>
    <w:p>
      <w:r>
        <w:rPr>
          <w:rFonts w:ascii="Consolas" w:hAnsi="Consolas"/>
        </w:rPr>
        <w:t xml:space="preserve">    fingerprint = fingerprint_result_set(result_set)</w:t>
      </w:r>
    </w:p>
    <w:p>
      <w:r>
        <w:rPr>
          <w:rFonts w:ascii="Consolas" w:hAnsi="Consolas"/>
        </w:rPr>
        <w:t xml:space="preserve">    return (normalized, fingerprint)</w:t>
      </w:r>
    </w:p>
    <w:p>
      <w:pPr>
        <w:pStyle w:val="Heading2"/>
      </w:pPr>
      <w:r>
        <w:t>Failure Modes</w:t>
      </w:r>
    </w:p>
    <w:p>
      <w:r>
        <w:t>WARNING: a cache stampede (many identical requests arriving while the entry is being computed for the first time) could momentarily increase load on the ranking tier rather than reduce it. The design must coalesce concurrent misses for the same key into a single computation, not let every concurrent request independently recompute.</w:t>
      </w:r>
    </w:p>
    <w:p>
      <w:r>
        <w:t>NOTE: cache entries are intentionally short-lived (single-digit seconds), so a stale-fingerprint edge case self-heals quickly even if REQ-102's invalidation logic has a bug — this is a deliberate defense-in-depth choice, not a substitute for correct invalidation.</w:t>
      </w:r>
    </w:p>
    <w:p>
      <w:r>
        <w:t>TODO: determine the exact TTL empirically once the cache is live in the lowest-traffic datacenter — the current 5-second default is a starting estimate, not a measured value.</w:t>
      </w:r>
    </w:p>
    <w:p>
      <w:pPr>
        <w:pStyle w:val="Heading2"/>
      </w:pPr>
      <w:r>
        <w:t>Open Questions</w:t>
      </w:r>
    </w:p>
    <w:p>
      <w:r>
        <w:t>Should the cache be warmed proactively for known high-volume queries ahead of traffic, or remain purely reactive? Current lean is reactive-only for the first rollout, revisited once real hit-rate data exists.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