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Doc: Search Result Ranking Cache</w:t>
      </w:r>
    </w:p>
    <w:p>
      <w:pPr>
        <w:pStyle w:val="Heading2"/>
      </w:pPr>
      <w:r>
        <w:t>Background</w:t>
      </w:r>
    </w:p>
    <w:p>
      <w:r>
        <w:t>The search service recomputes ranking scores for every query, even when the same query was served seconds earlier with an identical result set. Under peak traffic, this repeated computation accounts for a significant share of total CPU time in the ranking tier, and the on-call rotation has flagged ranking latency as a recurring contributor to p99 regressions during traffic spikes. Three separate incidents in the last quarter traced back to ranking tier saturation during otherwise-normal traffic bursts, not infrastructure failure.</w:t>
      </w:r>
    </w:p>
    <w:p>
      <w:r>
        <w:t>This document proposes a short-lived cache in front of the ranking computation, keyed on the normalized query plus the result set fingerprint, so that repeated identical ranking requests within a short window are served from cache rather than recomputed.</w:t>
      </w:r>
    </w:p>
    <w:p>
      <w:pPr>
        <w:pStyle w:val="Heading2"/>
      </w:pPr>
      <w:r>
        <w:t>Requirements</w:t>
      </w:r>
    </w:p>
    <w:p>
      <w:r>
        <w:t>REQ-101: Cache hits must return byte-identical ranking output to what the uncached path would have produced for the same input — the cache is a performance optimization, not an approximation.</w:t>
      </w:r>
    </w:p>
    <w:p>
      <w:r>
        <w:t>REQ-102: A cache entry must never be served once the underlying result set fingerprint changes, even if the query string is unchanged.</w:t>
      </w:r>
    </w:p>
    <w:p>
      <w:r>
        <w:t>REQ-103: Cache unavailability (eviction storm, backing store outage) must fail open to the existing uncached ranking path, never fail the request.</w:t>
      </w:r>
    </w:p>
    <w:p>
      <w:pPr>
        <w:pStyle w:val="Heading2"/>
      </w:pPr>
      <w:r>
        <w:t>Cache Key Design</w:t>
      </w:r>
    </w:p>
    <w:p>
      <w:r>
        <w:t>**Decision:** the cache key is the tuple (normalized_query, result_set_fingerprint), not the raw query string alone. Using the raw query string alone was rejected because two requests with the same query text can legitimately have different underlying result sets (personalization, A/B experiment membership, index updates between requests), and REQ-102 explicitly forbids serving a stale ranking for a changed result set.</w:t>
      </w:r>
    </w:p>
    <w:p>
      <w:pPr/>
      <w:r>
        <w:t>Supported cache backends considered:</w:t>
      </w:r>
    </w:p>
    <w:p>
      <w:pPr>
        <w:pStyle w:val="ListBullet"/>
      </w:pPr>
      <w:r>
        <w:t>In-process LRU cache, per ranking-tier instance</w:t>
      </w:r>
    </w:p>
    <w:p>
      <w:pPr>
        <w:pStyle w:val="ListBullet"/>
      </w:pPr>
      <w:r>
        <w:t>Shared Redis cache across the ranking tier</w:t>
      </w:r>
    </w:p>
    <w:p>
      <w:pPr>
        <w:pStyle w:val="ListBullet"/>
      </w:pPr>
      <w:r>
        <w:t>A hybrid: in-process L1 backed by shared L2</w:t>
      </w:r>
    </w:p>
    <w:p>
      <w:pPr>
        <w:pStyle w:val="Heading2"/>
      </w:pPr>
      <w:r>
        <w:t>Rollout Steps</w:t>
      </w:r>
    </w:p>
    <w:p>
      <w:pPr>
        <w:pStyle w:val="ListNumber"/>
      </w:pPr>
      <w:r>
        <w:t>Ship the cache behind a per-datacenter feature flag, default off</w:t>
      </w:r>
    </w:p>
    <w:p>
      <w:pPr>
        <w:pStyle w:val="ListNumber"/>
      </w:pPr>
      <w:r>
        <w:t>Enable in the lowest-traffic datacenter first and compare p50/p99 for one week</w:t>
      </w:r>
    </w:p>
    <w:p>
      <w:pPr>
        <w:pStyle w:val="ListNumber"/>
      </w:pPr>
      <w:r>
        <w:t>Roll out to remaining datacenters only after a clean comparison week</w:t>
      </w:r>
    </w:p>
    <w:p>
      <w:pPr>
        <w:pStyle w:val="Heading2"/>
      </w:pPr>
      <w:r>
        <w:t>Cache Backend Comparison</w:t>
      </w:r>
    </w:p>
    <w:tbl>
      <w:tblPr>
        <w:tblW w:type="auto" w:w="0"/>
        <w:tblLook w:firstColumn="1" w:firstRow="1" w:lastColumn="0" w:lastRow="0" w:noHBand="0" w:noVBand="1" w:val="04A0"/>
      </w:tblPr>
      <w:tblGrid>
        <w:gridCol w:w="2880"/>
        <w:gridCol w:w="2880"/>
        <w:gridCol w:w="2880"/>
      </w:tblGrid>
      <w:tr>
        <w:tc>
          <w:tcPr>
            <w:tcW w:type="dxa" w:w="2880"/>
          </w:tcPr>
          <w:p>
            <w:r>
              <w:t>Backend</w:t>
            </w:r>
          </w:p>
        </w:tc>
        <w:tc>
          <w:tcPr>
            <w:tcW w:type="dxa" w:w="2880"/>
          </w:tcPr>
          <w:p>
            <w:r>
              <w:t>Hit latency</w:t>
            </w:r>
          </w:p>
        </w:tc>
        <w:tc>
          <w:tcPr>
            <w:tcW w:type="dxa" w:w="2880"/>
          </w:tcPr>
          <w:p>
            <w:r>
              <w:t>Cross-instance sharing</w:t>
            </w:r>
          </w:p>
        </w:tc>
      </w:tr>
      <w:tr>
        <w:tc>
          <w:tcPr>
            <w:tcW w:type="dxa" w:w="2880"/>
          </w:tcPr>
          <w:p>
            <w:r>
              <w:t>In-process LRU</w:t>
            </w:r>
          </w:p>
        </w:tc>
        <w:tc>
          <w:tcPr>
            <w:tcW w:type="dxa" w:w="2880"/>
          </w:tcPr>
          <w:p>
            <w:r>
              <w:t>~50us</w:t>
            </w:r>
          </w:p>
        </w:tc>
        <w:tc>
          <w:tcPr>
            <w:tcW w:type="dxa" w:w="2880"/>
          </w:tcPr>
          <w:p>
            <w:r>
              <w:t>No</w:t>
            </w:r>
          </w:p>
        </w:tc>
      </w:tr>
      <w:tr>
        <w:tc>
          <w:tcPr>
            <w:tcW w:type="dxa" w:w="2880"/>
          </w:tcPr>
          <w:p>
            <w:r>
              <w:t>Shared Redis</w:t>
            </w:r>
          </w:p>
        </w:tc>
        <w:tc>
          <w:tcPr>
            <w:tcW w:type="dxa" w:w="2880"/>
          </w:tcPr>
          <w:p>
            <w:r>
              <w:t>~800us</w:t>
            </w:r>
          </w:p>
        </w:tc>
        <w:tc>
          <w:tcPr>
            <w:tcW w:type="dxa" w:w="2880"/>
          </w:tcPr>
          <w:p>
            <w:r>
              <w:t>Yes</w:t>
            </w:r>
          </w:p>
        </w:tc>
      </w:tr>
      <w:tr>
        <w:tc>
          <w:tcPr>
            <w:tcW w:type="dxa" w:w="2880"/>
          </w:tcPr>
          <w:p>
            <w:r>
              <w:t>Hybrid L1/L2</w:t>
            </w:r>
          </w:p>
        </w:tc>
        <w:tc>
          <w:tcPr>
            <w:tcW w:type="dxa" w:w="2880"/>
          </w:tcPr>
          <w:p>
            <w:r>
              <w:t>~50us (L1) / ~800us (L2)</w:t>
            </w:r>
          </w:p>
        </w:tc>
        <w:tc>
          <w:tcPr>
            <w:tcW w:type="dxa" w:w="2880"/>
          </w:tcPr>
          <w:p>
            <w:r>
              <w:t>Yes (via L2)</w:t>
            </w:r>
          </w:p>
        </w:tc>
      </w:tr>
    </w:tbl>
    <w:p>
      <w:pPr>
        <w:pStyle w:val="Heading2"/>
      </w:pPr>
      <w:r>
        <w:t>Reference Implementation Sketch</w:t>
      </w:r>
    </w:p>
    <w:p>
      <w:r>
        <w:rPr>
          <w:rFonts w:ascii="Consolas" w:hAnsi="Consolas"/>
        </w:rPr>
        <w:t>def ranking_cache_key(query, result_set):</w:t>
      </w:r>
    </w:p>
    <w:p>
      <w:r>
        <w:rPr>
          <w:rFonts w:ascii="Consolas" w:hAnsi="Consolas"/>
        </w:rPr>
        <w:t xml:space="preserve">    normalized = normalize_query(query)</w:t>
      </w:r>
    </w:p>
    <w:p>
      <w:r>
        <w:rPr>
          <w:rFonts w:ascii="Consolas" w:hAnsi="Consolas"/>
        </w:rPr>
        <w:t xml:space="preserve">    fingerprint = fingerprint_result_set(result_set)</w:t>
      </w:r>
    </w:p>
    <w:p>
      <w:r>
        <w:rPr>
          <w:rFonts w:ascii="Consolas" w:hAnsi="Consolas"/>
        </w:rPr>
        <w:t xml:space="preserve">    return (normalized, fingerprint)</w:t>
      </w:r>
    </w:p>
    <w:p>
      <w:pPr>
        <w:pStyle w:val="Heading2"/>
      </w:pPr>
      <w:r>
        <w:t>Failure Modes</w:t>
      </w:r>
    </w:p>
    <w:p>
      <w:r>
        <w:t>WARNING: a cache stampede (many identical requests arriving while the entry is being computed for the first time) could momentarily increase load on the ranking tier rather than reduce it. The design must coalesce concurrent misses for the same key into a single computation, not let every concurrent request independently recompute.</w:t>
      </w:r>
    </w:p>
    <w:p>
      <w:r>
        <w:t>NOTE: cache entries are intentionally short-lived (single-digit seconds), so a stale-fingerprint edge case self-heals quickly even if REQ-102's invalidation logic has a bug — this is a deliberate defense-in-depth choice, not a substitute for correct invalidation.</w:t>
      </w:r>
    </w:p>
    <w:p>
      <w:r>
        <w:t>TODO: determine the exact TTL empirically once the cache is live in the lowest-traffic datacenter — the current 5-second default is a starting estimate, not a measured value.</w:t>
      </w:r>
    </w:p>
    <w:p>
      <w:pPr>
        <w:pStyle w:val="Heading2"/>
      </w:pPr>
      <w:r>
        <w:t>Open Questions</w:t>
      </w:r>
    </w:p>
    <w:p>
      <w:r>
        <w:t>Should the cache be warmed proactively for known high-volume queries ahead of traffic, or remain purely reactive? Current lean is reactive-only for the first rollout, revisited once real hit-rate data exists.</w:t>
      </w:r>
    </w:p>
    <w:p>
      <w:pPr>
        <w:pStyle w:val="Heading2"/>
      </w:pPr>
      <w:r>
        <w:t>Related Work and Prior Art</w:t>
      </w:r>
    </w:p>
    <w:p>
      <w:r>
        <w:t>Several other teams at the company have faced a version of this same caching problem before, and it is worth summarizing what they did and why their solutions do not directly transfer here, so that reviewers of this document do not spend time re-suggesting approaches that were already considered and set aside for reasons specific to this system.</w:t>
      </w:r>
    </w:p>
    <w:p>
      <w:r>
        <w:t>The billing team's invoice-rendering pipeline faced a superficially similar recomputation problem two years ago, where a single customer's invoice PDF could be regenerated many times in a short window as the billing UI polled for status. Their solution was to cache the rendered PDF bytes themselves, keyed on invoice ID and a version counter incremented on any edit. That approach was considered here and rejected, because cache hits in this system must be byte-identical to what the uncached path would produce for the same input, and ranking output depends on far more inputs than a simple version counter can cheaply represent — personalization signals, experiment membership, and index freshness all affect ranking in ways that don't map cleanly onto a single incrementing integer the way an invoice's edit history does.</w:t>
      </w:r>
    </w:p>
    <w:p>
      <w:r>
        <w:t>The search-infra team's query-suggestion service took a different approach that is closer in spirit to what this document proposes: they built an in-process LRU cache keyed on the raw query string alone, with a short fixed TTL, and accepted a small amount of staleness as an explicit tradeoff for their use case. This is a strictly narrower solution than what is proposed here, because a raw-query-string key cannot distinguish between two requests that share query text but have different underlying result sets, and their product surface tolerates a small amount of staleness in a way that ranking output for a primary search result page does not. Their approach was considered as a smaller, lower-risk first step, but ultimately rejected as the primary design here because this system's own no-stale-serving requirement is not negotiable in the way it was for theirs.</w:t>
      </w:r>
    </w:p>
    <w:p>
      <w:r>
        <w:t>It is also worth noting that several commercial caching products this company evaluated in the past offer request-level caching as a built-in feature, and part of the motivation for building this internally rather than adopting one of those products wholesale is that the existing ranking tier is deeply integrated with several other internal systems in ways that would make a wholesale platform migration a much larger project than the narrower caching problem this document is trying to solve. This document does not attempt to relitigate that broader platform decision, which was made independently and is out of scope here; it simply takes the existing ranking tier architecture as a given constraint and designs within it.</w:t>
      </w:r>
    </w:p>
    <w:p>
      <w:r>
        <w:t>Finally, it is worth being honest that this document's proposed default TTL was not derived from a rigorous statistical analysis of ranking-tier traffic patterns — it was derived from a rough eyeballing of a sample of past traffic spikes, where a single-digit-second window appeared to be roughly the point past which the marginal benefit of a longer cache window started to trade off noticeably against the risk of serving a ranking that no longer reflects the true current result set. A more rigorous analysis, if someone has the time to do it properly, might land on a meaningfully different number, and the rollout plan's per-datacenter comparison period is specifically designed to catch that possibility before it becomes a default affecting every datacenter at once.</w:t>
      </w:r>
    </w:p>
    <w:p>
      <w:pPr>
        <w:pStyle w:val="Heading2"/>
      </w:pPr>
      <w:r>
        <w:t>Additional Rollout Considerations</w:t>
      </w:r>
    </w:p>
    <w:p>
      <w:r>
        <w:t>Beyond the basic per-datacenter rollout sequencing already described above, several operational details need to be settled before the first datacenter is enabled. Cache metrics (hit rate, eviction rate, average entry age at eviction) need to be exported to the same dashboards the ranking tier's existing latency metrics already live on, so the on-call rotation does not need to learn a second monitoring surface during an incident. Alerting thresholds for an abnormally low hit rate should be set conservatively at first — a low hit rate on its own is not necessarily a problem, since the cache already fails open to the uncached path by design, but a sudden drop from a previously stable hit rate is a useful early signal that something changed upstream, such as a spike in genuinely unique queries or a fingerprinting bug causing spurious cache misses.</w:t>
      </w:r>
    </w:p>
    <w:p>
      <w:r>
        <w:t>The rollout plan also needs an explicit rollback procedure, not just a forward path: if the per-datacenter comparison period reveals a problem, the feature flag must be flippable back to off without requiring a deploy, and the cache itself should be safe to leave populated with stale entries during that window since a stale entry is never served once the system is turned back on and revalidated — the flag genuinely gates the read path, not just whether new entries are written.</w:t>
      </w:r>
    </w:p>
    <w:p>
      <w:pPr>
        <w:pStyle w:val="Heading2"/>
      </w:pPr>
      <w:r>
        <w:t>Long-Term Considerations</w:t>
      </w:r>
    </w:p>
    <w:p>
      <w:r>
        <w:t>As the ranking tier's query volume continues to grow, it is worth thinking ahead about what happens if a single cache instance's memory footprint becomes a constraint in its own right, independent of the hit-rate question this document has focused on so far. An in-process cache is bounded by the memory available to a single ranking-tier process, and while today's estimated entry count comfortably fits within that budget, there is no guarantee that remains true as query diversity grows over the next several quarters.</w:t>
      </w:r>
    </w:p>
    <w:p>
      <w:r>
        <w:t>One option, if memory pressure does become a real constraint, is to move from a purely in-process cache to the hybrid L1/L2 design that was already evaluated and set aside in the backend comparison above — L2 eviction pressure would then be handled by the shared Redis tier rather than by more aggressively evicting from every ranking-tier process independently, which today would mean losing cache locality for queries that happen to land on a different process between requests.</w:t>
      </w:r>
    </w:p>
    <w:p>
      <w:r>
        <w:t>Another consideration for the long term is whether the cache key itself will need to grow beyond the two-element tuple proposed here, if a future ranking signal is added that can change independently of both the query text and the result set fingerprint as currently defined. This document does not attempt to anticipate every future ranking signal, but the cache key design was chosen specifically because it is a tuple, not a single opaque string, precisely so a future signal could be added as a third element without requiring a full redesign of the caching layer itself.</w:t>
      </w:r>
    </w:p>
    <w:p>
      <w:r>
        <w:t>It is also worth considering, separately from memory footprint, whether the single fixed TTL proposed in this document will remain appropriate as traffic patterns evolve. A single global default is deliberately simple for the first rollout, but nothing about the underlying cache key design assumes a single TTL forever — a future iteration could reasonably assign different TTLs to different query shapes if data eventually shows that some categories of query have meaningfully different staleness tolerances than others, though that is explicitly out of scope for this initial design.</w:t>
      </w:r>
    </w:p>
    <w:p>
      <w:r>
        <w:t>Finally, this document has focused entirely on the read path of the cache — how a ranking request checks for and consumes a cache entry — and has said comparatively little about the write path's own failure modes beyond the high-level fail-open requirement already stated. A more detailed treatment of write-path failure modes, including what happens if the cache backend accepts a write but then loses it before the next read, is deferred to a follow-up document once the basic read-path behavior has been validated in production against real traffic, rather than attempting to anticipate every write-path edge case speculatively before any real operational experience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