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E2761"/>
          <w:sz w:val="34"/>
          <w:szCs w:val="34"/>
        </w:rPr>
        <w:t xml:space="preserve">India Apparel &amp; Fashion — Story Outline &amp; Exhibit Plan</w:t>
      </w:r>
    </w:p>
    <w:p>
      <w:pPr>
        <w:spacing w:after="60"/>
      </w:pPr>
      <w:r>
        <w:t xml:space="preserve"/>
      </w:r>
    </w:p>
    <w:p>
      <w:pPr>
        <w:spacing w:after="100"/>
        <w:jc w:val="left"/>
      </w:pPr>
      <w:r>
        <w:rPr>
          <w:rFonts w:ascii="Arial" w:cs="Arial" w:eastAsia="Arial" w:hAnsi="Arial"/>
          <w:b/>
          <w:bCs/>
          <w:color w:val="3A5FA0"/>
          <w:sz w:val="20"/>
          <w:szCs w:val="20"/>
        </w:rPr>
        <w:t xml:space="preserve">Bernstein Equity Research  ·  India Consumer  ·  June 2026</w:t>
      </w:r>
    </w:p>
    <w:p>
      <w:pPr>
        <w:pBdr>
          <w:bottom w:val="single" w:color="3A5FA0" w:sz="4" w:space="1"/>
        </w:pBdr>
        <w:spacing w:after="160" w:before="160"/>
      </w:pPr>
    </w:p>
    <w:p>
      <w:pPr>
        <w:spacing w:after="100"/>
        <w:jc w:val="left"/>
      </w:pPr>
      <w:r>
        <w:rPr>
          <w:rFonts w:ascii="Arial" w:cs="Arial" w:eastAsia="Arial" w:hAnsi="Arial"/>
          <w:b/>
          <w:bCs/>
          <w:color w:val="64748B"/>
          <w:sz w:val="19"/>
          <w:szCs w:val="19"/>
        </w:rPr>
        <w:t xml:space="preserve">PURPOSE OF THIS DOCUMENT</w:t>
      </w:r>
    </w:p>
    <w:p>
      <w:pPr>
        <w:spacing w:after="100"/>
        <w:jc w:val="left"/>
      </w:pPr>
      <w:r>
        <w:rPr>
          <w:rFonts w:ascii="Arial" w:cs="Arial" w:eastAsia="Arial" w:hAnsi="Arial"/>
          <w:b w:val="false"/>
          <w:bCs w:val="false"/>
          <w:color w:val="222222"/>
          <w:sz w:val="20"/>
          <w:szCs w:val="20"/>
        </w:rPr>
        <w:t xml:space="preserve">This document covers: (a) the problem statement and why this analysis is needed, (b) the investment thesis it supports, (c) the story arc and logic per section, (d) what each exhibit shows, what data feeds it, and why it earns its place.</w:t>
      </w:r>
    </w:p>
    <w:p>
      <w:pPr>
        <w:spacing w:after="60"/>
      </w:pPr>
      <w:r>
        <w:t xml:space="preserve"/>
      </w:r>
    </w:p>
    <w:p>
      <w:pPr>
        <w:spacing w:after="60"/>
      </w:pPr>
      <w:r>
        <w:t xml:space="preserve"/>
      </w:r>
    </w:p>
    <w:p>
      <w:pPr>
        <w:pStyle w:val="Heading2"/>
      </w:pPr>
      <w:r>
        <w:rPr>
          <w:rFonts w:ascii="Arial" w:cs="Arial" w:eastAsia="Arial" w:hAnsi="Arial"/>
          <w:b/>
          <w:bCs/>
          <w:color w:val="3A5FA0"/>
          <w:sz w:val="26"/>
          <w:szCs w:val="26"/>
        </w:rPr>
        <w:t xml:space="preserve">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A0" w:sz="4"/>
              <w:left w:val="single" w:color="3A5FA0" w:sz="16"/>
              <w:bottom w:val="single" w:color="3A5FA0" w:sz="4"/>
              <w:right w:val="single" w:color="3A5FA0" w:sz="4"/>
            </w:tcBorders>
            <w:shd w:fill="EEF3FF" w:val="clear"/>
            <w:tcMar>
              <w:top w:type="dxa" w:w="120"/>
              <w:left w:type="dxa" w:w="200"/>
              <w:bottom w:type="dxa" w:w="120"/>
              <w:right w:type="dxa" w:w="200"/>
            </w:tcMar>
          </w:tcPr>
          <w:p>
            <w:r>
              <w:rPr>
                <w:rFonts w:ascii="Arial" w:cs="Arial" w:eastAsia="Arial" w:hAnsi="Arial"/>
                <w:color w:val="1E2761"/>
                <w:sz w:val="20"/>
                <w:szCs w:val="20"/>
              </w:rPr>
              <w:t xml:space="preserve">India's apparel and fashion retail market has never been analysed from the ground up. Every investor uses top-down TAM estimates that can tell them how big the market is — but cannot tell them where the opportunity is at pincode level, which geographies are underserved, or whether a retailer is over- or under-invested in any market. This is the first framework to answer those questions, built from 19,694 pincodes, actual income data, and a complete organised supply census.</w:t>
            </w:r>
          </w:p>
        </w:tc>
      </w:tr>
    </w:tbl>
    <w:p>
      <w:pPr>
        <w:spacing w:after="60"/>
      </w:pPr>
      <w:r>
        <w:t xml:space="preserve"/>
      </w:r>
    </w:p>
    <w:p>
      <w:pPr>
        <w:spacing w:after="100"/>
        <w:jc w:val="left"/>
      </w:pPr>
      <w:r>
        <w:rPr>
          <w:rFonts w:ascii="Arial" w:cs="Arial" w:eastAsia="Arial" w:hAnsi="Arial"/>
          <w:b/>
          <w:bCs/>
          <w:color w:val="222222"/>
          <w:sz w:val="20"/>
          <w:szCs w:val="20"/>
        </w:rPr>
        <w:t xml:space="preserve">Why this is the right problem statement:</w:t>
      </w:r>
    </w:p>
    <w:p>
      <w:pPr>
        <w:pStyle w:val="ListParagraph"/>
        <w:numPr>
          <w:ilvl w:val="0"/>
          <w:numId w:val="2"/>
        </w:numPr>
        <w:spacing w:after="80"/>
      </w:pPr>
      <w:r>
        <w:rPr>
          <w:rFonts w:ascii="Arial" w:cs="Arial" w:eastAsia="Arial" w:hAnsi="Arial"/>
          <w:color w:val="222222"/>
          <w:sz w:val="20"/>
          <w:szCs w:val="20"/>
        </w:rPr>
        <w:t xml:space="preserve">Retail investment decisions are made at the store level, not the national level. A TAM estimate doesn't help you decide whether to open in Aurangabad.</w:t>
      </w:r>
    </w:p>
    <w:p>
      <w:pPr>
        <w:pStyle w:val="ListParagraph"/>
        <w:numPr>
          <w:ilvl w:val="0"/>
          <w:numId w:val="2"/>
        </w:numPr>
        <w:spacing w:after="80"/>
      </w:pPr>
      <w:r>
        <w:rPr>
          <w:rFonts w:ascii="Arial" w:cs="Arial" w:eastAsia="Arial" w:hAnsi="Arial"/>
          <w:color w:val="222222"/>
          <w:sz w:val="20"/>
          <w:szCs w:val="20"/>
        </w:rPr>
        <w:t xml:space="preserve">The demand-supply gap at pincode level is investable information. Knowing 'India's organised penetration is 15%' is not. Knowing 'Aurangabad has Rs.40 crore wallet and zero organised apparel stores' is.</w:t>
      </w:r>
    </w:p>
    <w:p>
      <w:pPr>
        <w:pStyle w:val="ListParagraph"/>
        <w:numPr>
          <w:ilvl w:val="0"/>
          <w:numId w:val="2"/>
        </w:numPr>
        <w:spacing w:after="80"/>
      </w:pPr>
      <w:r>
        <w:rPr>
          <w:rFonts w:ascii="Arial" w:cs="Arial" w:eastAsia="Arial" w:hAnsi="Arial"/>
          <w:color w:val="222222"/>
          <w:sz w:val="20"/>
          <w:szCs w:val="20"/>
        </w:rPr>
        <w:t xml:space="preserve">The analysis required assembling data that lived in three separate places (HCES, GSDP databases, store-level scraped data). The fact that it hadn't been done was a data assembly problem, not an analytical one. This project solved that.</w:t>
      </w:r>
    </w:p>
    <w:p>
      <w:pPr>
        <w:pStyle w:val="ListParagraph"/>
        <w:numPr>
          <w:ilvl w:val="0"/>
          <w:numId w:val="2"/>
        </w:numPr>
        <w:spacing w:after="80"/>
      </w:pPr>
      <w:r>
        <w:rPr>
          <w:rFonts w:ascii="Arial" w:cs="Arial" w:eastAsia="Arial" w:hAnsi="Arial"/>
          <w:color w:val="222222"/>
          <w:sz w:val="20"/>
          <w:szCs w:val="20"/>
        </w:rPr>
        <w:t xml:space="preserve">Value fashion is the ideal domain to apply this framework: it is simultaneously the largest segment, fastest-growing, and least-organised — making the gap findings most consequential there.</w:t>
      </w:r>
    </w:p>
    <w:p>
      <w:pPr>
        <w:spacing w:after="60"/>
      </w:pPr>
      <w:r>
        <w:t xml:space="preserve"/>
      </w:r>
    </w:p>
    <w:p>
      <w:pPr>
        <w:spacing w:after="60"/>
      </w:pPr>
      <w:r>
        <w:t xml:space="preserve"/>
      </w:r>
    </w:p>
    <w:p>
      <w:pPr>
        <w:pStyle w:val="Heading2"/>
      </w:pPr>
      <w:r>
        <w:rPr>
          <w:rFonts w:ascii="Arial" w:cs="Arial" w:eastAsia="Arial" w:hAnsi="Arial"/>
          <w:b/>
          <w:bCs/>
          <w:color w:val="3A5FA0"/>
          <w:sz w:val="26"/>
          <w:szCs w:val="26"/>
        </w:rPr>
        <w:t xml:space="preserve">2. THE INVESTMENT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6"/>
              <w:bottom w:val="single" w:color="0D9488" w:sz="4"/>
              <w:right w:val="single" w:color="0D9488" w:sz="4"/>
            </w:tcBorders>
            <w:shd w:fill="E8F8F2" w:val="clear"/>
            <w:tcMar>
              <w:top w:type="dxa" w:w="120"/>
              <w:left w:type="dxa" w:w="200"/>
              <w:bottom w:type="dxa" w:w="120"/>
              <w:right w:type="dxa" w:w="200"/>
            </w:tcMar>
          </w:tcPr>
          <w:p>
            <w:r>
              <w:rPr>
                <w:rFonts w:ascii="Arial" w:cs="Arial" w:eastAsia="Arial" w:hAnsi="Arial"/>
                <w:color w:val="1E2761"/>
                <w:sz w:val="20"/>
                <w:szCs w:val="20"/>
              </w:rPr>
              <w:t xml:space="preserve">India's organised fashion retail has captured 15% of the available wallet. The remaining 85% flows through unorganised trade — not by consumer preference, but because organised supply hasn't been built. The tier-level mismatch (Metro over-stored, T3/T4 under-stored relative to wallet) is structural and correctable. Zudio, with 958 stores and 1.5% wallet capture, has 8× store potential and 7× revenue runway at current economics. The pace of expansion is the primary investment variable.</w:t>
            </w:r>
          </w:p>
        </w:tc>
      </w:tr>
    </w:tbl>
    <w:p>
      <w:pPr>
        <w:spacing w:after="60"/>
      </w:pPr>
      <w:r>
        <w:t xml:space="preserve"/>
      </w:r>
    </w:p>
    <w:p>
      <w:pPr>
        <w:spacing w:after="100"/>
        <w:jc w:val="left"/>
      </w:pPr>
      <w:r>
        <w:rPr>
          <w:rFonts w:ascii="Arial" w:cs="Arial" w:eastAsia="Arial" w:hAnsi="Arial"/>
          <w:b/>
          <w:bCs/>
          <w:color w:val="222222"/>
          <w:sz w:val="20"/>
          <w:szCs w:val="20"/>
        </w:rPr>
        <w:t xml:space="preserve">Three supporting arguments:</w:t>
      </w:r>
    </w:p>
    <w:p>
      <w:pPr>
        <w:pStyle w:val="ListParagraph"/>
        <w:numPr>
          <w:ilvl w:val="0"/>
          <w:numId w:val="2"/>
        </w:numPr>
        <w:spacing w:after="80"/>
      </w:pPr>
      <w:r>
        <w:rPr>
          <w:rFonts w:ascii="Arial" w:cs="Arial" w:eastAsia="Arial" w:hAnsi="Arial"/>
          <w:color w:val="222222"/>
          <w:sz w:val="20"/>
          <w:szCs w:val="20"/>
        </w:rPr>
        <w:t xml:space="preserve">The demand is verified, not estimated. Built from HCES 2023-24 and GSDP data, validated to 2% of national figures. This is not a projection — it is a measurement of current spending.</w:t>
      </w:r>
    </w:p>
    <w:p>
      <w:pPr>
        <w:pStyle w:val="ListParagraph"/>
        <w:numPr>
          <w:ilvl w:val="0"/>
          <w:numId w:val="2"/>
        </w:numPr>
        <w:spacing w:after="80"/>
      </w:pPr>
      <w:r>
        <w:rPr>
          <w:rFonts w:ascii="Arial" w:cs="Arial" w:eastAsia="Arial" w:hAnsi="Arial"/>
          <w:color w:val="222222"/>
          <w:sz w:val="20"/>
          <w:szCs w:val="20"/>
        </w:rPr>
        <w:t xml:space="preserve">The supply gap is quantified. 31,803 organised stores mapped. Rs.7.38 lakh crore of unaddressed wallet identified. Specific at the pincode level.</w:t>
      </w:r>
    </w:p>
    <w:p>
      <w:pPr>
        <w:pStyle w:val="ListParagraph"/>
        <w:numPr>
          <w:ilvl w:val="0"/>
          <w:numId w:val="2"/>
        </w:numPr>
        <w:spacing w:after="80"/>
      </w:pPr>
      <w:r>
        <w:rPr>
          <w:rFonts w:ascii="Arial" w:cs="Arial" w:eastAsia="Arial" w:hAnsi="Arial"/>
          <w:color w:val="222222"/>
          <w:sz w:val="20"/>
          <w:szCs w:val="20"/>
        </w:rPr>
        <w:t xml:space="preserve">The investment direction is clear. The secular shift from unorganised to organised in Indian fashion retail is multi-decade. Whoever builds supply in underserved geographies compounds first-mover advantage. Zudio is the only national-scale player in the right segment with the right format.</w:t>
      </w:r>
    </w:p>
    <w:p>
      <w:pPr>
        <w:spacing w:after="60"/>
      </w:pPr>
      <w:r>
        <w:t xml:space="preserve"/>
      </w:r>
    </w:p>
    <w:p>
      <w:pPr>
        <w:spacing w:after="60"/>
      </w:pPr>
      <w:r>
        <w:t xml:space="preserve"/>
      </w:r>
    </w:p>
    <w:p>
      <w:pPr>
        <w:pageBreakBefore/>
      </w:pPr>
      <w:r>
        <w:t xml:space="preserve"/>
      </w:r>
    </w:p>
    <w:p>
      <w:pPr>
        <w:pStyle w:val="Heading2"/>
      </w:pPr>
      <w:r>
        <w:rPr>
          <w:rFonts w:ascii="Arial" w:cs="Arial" w:eastAsia="Arial" w:hAnsi="Arial"/>
          <w:b/>
          <w:bCs/>
          <w:color w:val="3A5FA0"/>
          <w:sz w:val="26"/>
          <w:szCs w:val="26"/>
        </w:rPr>
        <w:t xml:space="preserve">3. STORY ARC — 10 MINUTES IN 5 ACTS</w:t>
      </w:r>
    </w:p>
    <w:p>
      <w:pPr>
        <w:spacing w:after="60"/>
      </w:pPr>
      <w:r>
        <w:t xml:space="preserve"/>
      </w:r>
    </w:p>
    <w:p>
      <w:pPr>
        <w:spacing w:after="100"/>
        <w:jc w:val="left"/>
      </w:pPr>
      <w:r>
        <w:rPr>
          <w:rFonts w:ascii="Arial" w:cs="Arial" w:eastAsia="Arial" w:hAnsi="Arial"/>
          <w:b w:val="false"/>
          <w:bCs w:val="false"/>
          <w:color w:val="64748B"/>
          <w:sz w:val="20"/>
          <w:szCs w:val="20"/>
        </w:rPr>
        <w:t xml:space="preserve">Narrative logic: Problem → What we built → Why this approach → How it works + what it reveals → Investment direction. Each act hands off to the next. The Zudio implication only appears in Act 5 — it is the conclusion of the analysis, not the starting 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10"/>
              <w:left w:type="dxa" w:w="200"/>
              <w:bottom w:type="dxa" w:w="110"/>
              <w:right w:type="dxa" w:w="200"/>
            </w:tcMar>
          </w:tcPr>
          <w:p>
            <w:r>
              <w:rPr>
                <w:rFonts w:ascii="Arial" w:cs="Arial" w:eastAsia="Arial" w:hAnsi="Arial"/>
                <w:b/>
                <w:bCs/>
                <w:color w:val="FFFFFF"/>
                <w:sz w:val="22"/>
                <w:szCs w:val="22"/>
              </w:rPr>
              <w:t xml:space="preserve">ACT 1  —  INTRODUCTION  (1 min)  ·  Slides 1–2  ·  What problem exists and why it matters</w:t>
            </w:r>
          </w:p>
        </w:tc>
      </w:tr>
    </w:tbl>
    <w:p>
      <w:pPr>
        <w:spacing w:after="60"/>
      </w:pPr>
      <w:r>
        <w:t xml:space="preserve"/>
      </w:r>
    </w:p>
    <w:p>
      <w:pPr>
        <w:spacing w:after="100"/>
        <w:jc w:val="left"/>
      </w:pPr>
      <w:r>
        <w:rPr>
          <w:rFonts w:ascii="Arial" w:cs="Arial" w:eastAsia="Arial" w:hAnsi="Arial"/>
          <w:b w:val="false"/>
          <w:bCs w:val="false"/>
          <w:color w:val="333333"/>
          <w:sz w:val="20"/>
          <w:szCs w:val="20"/>
        </w:rPr>
        <w:t xml:space="preserve">The opening question — 'what does India's apparel wallet actually look like at pincode level?' — establishes that the problem this analysis solves is one investors actually have. Slide 2 makes the contrast between top-down and ground-up explicit, so the analyst understands from the start that this is not 'more research on the same topic' but a fundamentally different tool.</w:t>
      </w:r>
    </w:p>
    <w:p>
      <w:pPr>
        <w:spacing w:after="100"/>
        <w:jc w:val="left"/>
      </w:pPr>
      <w:r>
        <w:rPr>
          <w:rFonts w:ascii="Arial" w:cs="Arial" w:eastAsia="Arial" w:hAnsi="Arial"/>
          <w:b w:val="false"/>
          <w:bCs w:val="false"/>
          <w:color w:val="222222"/>
          <w:sz w:val="20"/>
          <w:szCs w:val="20"/>
        </w:rPr>
        <w:t xml:space="preserve">Handoff: 'Let me show you what we built and what it found.'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10"/>
              <w:left w:type="dxa" w:w="200"/>
              <w:bottom w:type="dxa" w:w="110"/>
              <w:right w:type="dxa" w:w="200"/>
            </w:tcMar>
          </w:tcPr>
          <w:p>
            <w:r>
              <w:rPr>
                <w:rFonts w:ascii="Arial" w:cs="Arial" w:eastAsia="Arial" w:hAnsi="Arial"/>
                <w:b/>
                <w:bCs/>
                <w:color w:val="FFFFFF"/>
                <w:sz w:val="22"/>
                <w:szCs w:val="22"/>
              </w:rPr>
              <w:t xml:space="preserve">ACT 2  —  WHAT  (1.5 min)  ·  Slides 3–4  ·  What the framework is and what it outputs</w:t>
            </w:r>
          </w:p>
        </w:tc>
      </w:tr>
    </w:tbl>
    <w:p>
      <w:pPr>
        <w:spacing w:after="60"/>
      </w:pPr>
      <w:r>
        <w:t xml:space="preserve"/>
      </w:r>
    </w:p>
    <w:p>
      <w:pPr>
        <w:spacing w:after="100"/>
        <w:jc w:val="left"/>
      </w:pPr>
      <w:r>
        <w:rPr>
          <w:rFonts w:ascii="Arial" w:cs="Arial" w:eastAsia="Arial" w:hAnsi="Arial"/>
          <w:b w:val="false"/>
          <w:bCs w:val="false"/>
          <w:color w:val="333333"/>
          <w:sz w:val="20"/>
          <w:szCs w:val="20"/>
        </w:rPr>
        <w:t xml:space="preserve">Slide 3 defines the four components of the framework (demand map, supply census, match, investment output) and explains why the data assembly had never been done before. Slide 4 delivers the first major output: Rs.8.68 lakh crore, with a tier breakdown that immediately shows the wallet is not where the industry expects.</w:t>
      </w:r>
    </w:p>
    <w:p>
      <w:pPr>
        <w:spacing w:after="100"/>
        <w:jc w:val="left"/>
      </w:pPr>
      <w:r>
        <w:rPr>
          <w:rFonts w:ascii="Arial" w:cs="Arial" w:eastAsia="Arial" w:hAnsi="Arial"/>
          <w:b w:val="false"/>
          <w:bCs w:val="false"/>
          <w:color w:val="222222"/>
          <w:sz w:val="20"/>
          <w:szCs w:val="20"/>
        </w:rPr>
        <w:t xml:space="preserve">Handoff: 'Why does this approach matter more than existing estimates?'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9488" w:val="clear"/>
            <w:tcMar>
              <w:top w:type="dxa" w:w="110"/>
              <w:left w:type="dxa" w:w="200"/>
              <w:bottom w:type="dxa" w:w="110"/>
              <w:right w:type="dxa" w:w="200"/>
            </w:tcMar>
          </w:tcPr>
          <w:p>
            <w:r>
              <w:rPr>
                <w:rFonts w:ascii="Arial" w:cs="Arial" w:eastAsia="Arial" w:hAnsi="Arial"/>
                <w:b/>
                <w:bCs/>
                <w:color w:val="FFFFFF"/>
                <w:sz w:val="22"/>
                <w:szCs w:val="22"/>
              </w:rPr>
              <w:t xml:space="preserve">ACT 3  —  WHY  (1.5 min)  ·  Slides 5–6  ·  Why this methodology is necessary</w:t>
            </w:r>
          </w:p>
        </w:tc>
      </w:tr>
    </w:tbl>
    <w:p>
      <w:pPr>
        <w:spacing w:after="60"/>
      </w:pPr>
      <w:r>
        <w:t xml:space="preserve"/>
      </w:r>
    </w:p>
    <w:p>
      <w:pPr>
        <w:spacing w:after="100"/>
        <w:jc w:val="left"/>
      </w:pPr>
      <w:r>
        <w:rPr>
          <w:rFonts w:ascii="Arial" w:cs="Arial" w:eastAsia="Arial" w:hAnsi="Arial"/>
          <w:b w:val="false"/>
          <w:bCs w:val="false"/>
          <w:color w:val="333333"/>
          <w:sz w:val="20"/>
          <w:szCs w:val="20"/>
        </w:rPr>
        <w:t xml:space="preserve">Slide 5 is the most direct argument for why ground-up matters: a comparison table of six questions that investors need answered, with top-down unable to answer any of them and this framework answering all six. Slide 6 provides the value fashion angle quickly — it's the most important domain for this analysis, but the slide is intentionally brief. The segment context is provided, not dwelt on.</w:t>
      </w:r>
    </w:p>
    <w:p>
      <w:pPr>
        <w:spacing w:after="100"/>
        <w:jc w:val="left"/>
      </w:pPr>
      <w:r>
        <w:rPr>
          <w:rFonts w:ascii="Arial" w:cs="Arial" w:eastAsia="Arial" w:hAnsi="Arial"/>
          <w:b w:val="false"/>
          <w:bCs w:val="false"/>
          <w:color w:val="222222"/>
          <w:sz w:val="20"/>
          <w:szCs w:val="20"/>
        </w:rPr>
        <w:t xml:space="preserve">Handoff: 'How was this built, and what does it reveal?'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A7517" w:val="clear"/>
            <w:tcMar>
              <w:top w:type="dxa" w:w="110"/>
              <w:left w:type="dxa" w:w="200"/>
              <w:bottom w:type="dxa" w:w="110"/>
              <w:right w:type="dxa" w:w="200"/>
            </w:tcMar>
          </w:tcPr>
          <w:p>
            <w:r>
              <w:rPr>
                <w:rFonts w:ascii="Arial" w:cs="Arial" w:eastAsia="Arial" w:hAnsi="Arial"/>
                <w:b/>
                <w:bCs/>
                <w:color w:val="FFFFFF"/>
                <w:sz w:val="22"/>
                <w:szCs w:val="22"/>
              </w:rPr>
              <w:t xml:space="preserve">ACT 4  —  HOW + INSIGHTS  (3 min)  ·  Slides 7–11  ·  The methodology and what it uncovers</w:t>
            </w:r>
          </w:p>
        </w:tc>
      </w:tr>
    </w:tbl>
    <w:p>
      <w:pPr>
        <w:spacing w:after="60"/>
      </w:pPr>
      <w:r>
        <w:t xml:space="preserve"/>
      </w:r>
    </w:p>
    <w:p>
      <w:pPr>
        <w:spacing w:after="100"/>
        <w:jc w:val="left"/>
      </w:pPr>
      <w:r>
        <w:rPr>
          <w:rFonts w:ascii="Arial" w:cs="Arial" w:eastAsia="Arial" w:hAnsi="Arial"/>
          <w:b w:val="false"/>
          <w:bCs w:val="false"/>
          <w:color w:val="333333"/>
          <w:sz w:val="20"/>
          <w:szCs w:val="20"/>
        </w:rPr>
        <w:t xml:space="preserve">Slides 7–8 cover the four-step methodology and the two-sided framework (demand vs supply match). Slides 9–11 deliver the three core insights: the Rs.7.38 lakh crore gap (hero slide — pause before speaking), the tier inversion showing wallet and stores are misaligned, and the penetration data showing organised retail is at inning one. These three insights build sequentially: the gap is real → it's structurally misallocated → it's far from closing.</w:t>
      </w:r>
    </w:p>
    <w:p>
      <w:pPr>
        <w:spacing w:after="100"/>
        <w:jc w:val="left"/>
      </w:pPr>
      <w:r>
        <w:rPr>
          <w:rFonts w:ascii="Arial" w:cs="Arial" w:eastAsia="Arial" w:hAnsi="Arial"/>
          <w:b w:val="false"/>
          <w:bCs w:val="false"/>
          <w:color w:val="222222"/>
          <w:sz w:val="20"/>
          <w:szCs w:val="20"/>
        </w:rPr>
        <w:t xml:space="preserve">Handoff: 'What does this mean for the investment case?'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D5FD4" w:val="clear"/>
            <w:tcMar>
              <w:top w:type="dxa" w:w="110"/>
              <w:left w:type="dxa" w:w="200"/>
              <w:bottom w:type="dxa" w:w="110"/>
              <w:right w:type="dxa" w:w="200"/>
            </w:tcMar>
          </w:tcPr>
          <w:p>
            <w:r>
              <w:rPr>
                <w:rFonts w:ascii="Arial" w:cs="Arial" w:eastAsia="Arial" w:hAnsi="Arial"/>
                <w:b/>
                <w:bCs/>
                <w:color w:val="FFFFFF"/>
                <w:sz w:val="22"/>
                <w:szCs w:val="22"/>
              </w:rPr>
              <w:t xml:space="preserve">ACT 5  —  IMPLICATIONS  (2.5 min)  ·  Slides 12–14  ·  Zudio's position, runway, and the investment direction</w:t>
            </w:r>
          </w:p>
        </w:tc>
      </w:tr>
    </w:tbl>
    <w:p>
      <w:pPr>
        <w:spacing w:after="60"/>
      </w:pPr>
      <w:r>
        <w:t xml:space="preserve"/>
      </w:r>
    </w:p>
    <w:p>
      <w:pPr>
        <w:spacing w:after="100"/>
        <w:jc w:val="left"/>
      </w:pPr>
      <w:r>
        <w:rPr>
          <w:rFonts w:ascii="Arial" w:cs="Arial" w:eastAsia="Arial" w:hAnsi="Arial"/>
          <w:b w:val="false"/>
          <w:bCs w:val="false"/>
          <w:color w:val="333333"/>
          <w:sz w:val="20"/>
          <w:szCs w:val="20"/>
        </w:rPr>
        <w:t xml:space="preserve">Only here does Zudio appear explicitly. Slide 12 states where Zudio stands (Rs.12,804 Cr, 958 stores, 1.5% capture). Slide 13 delivers the runway (Rs.88,723 Cr additional, 7,522 store potential, 8× headroom). Slide 14 concludes by returning to the opening question and delivering the five headline findings followed by the investment direction. The ending is a full stop.</w:t>
      </w:r>
    </w:p>
    <w:p>
      <w:pPr>
        <w:spacing w:after="60"/>
      </w:pPr>
      <w:r>
        <w:t xml:space="preserve"/>
      </w:r>
    </w:p>
    <w:p>
      <w:pPr>
        <w:spacing w:after="60"/>
      </w:pPr>
      <w:r>
        <w:t xml:space="preserve"/>
      </w:r>
    </w:p>
    <w:p>
      <w:pPr>
        <w:pageBreakBefore/>
      </w:pPr>
      <w:r>
        <w:t xml:space="preserve"/>
      </w:r>
    </w:p>
    <w:p>
      <w:pPr>
        <w:pStyle w:val="Heading2"/>
      </w:pPr>
      <w:r>
        <w:rPr>
          <w:rFonts w:ascii="Arial" w:cs="Arial" w:eastAsia="Arial" w:hAnsi="Arial"/>
          <w:b/>
          <w:bCs/>
          <w:color w:val="3A5FA0"/>
          <w:sz w:val="26"/>
          <w:szCs w:val="26"/>
        </w:rPr>
        <w:t xml:space="preserve">4. EXHIBIT PLAN — ALL 14 SLIDES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880"/>
        <w:gridCol w:w="2520"/>
      </w:tblGrid>
      <w:tr>
        <w:tc>
          <w:tcPr>
            <w:tcW w:type="dxa" w:w="14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Slide</w:t>
            </w:r>
          </w:p>
        </w:tc>
        <w:tc>
          <w:tcPr>
            <w:tcW w:type="dxa" w:w="25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Exhibit</w:t>
            </w:r>
          </w:p>
        </w:tc>
        <w:tc>
          <w:tcPr>
            <w:tcW w:type="dxa" w:w="28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c>
          <w:tcPr>
            <w:tcW w:type="dxa" w:w="25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It's Here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  Cover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Text + hook question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None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Sets tone. Opens with the question, not an intro.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2  Framing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Two-column contrast table: Top-Down vs Ground-Up</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None — conceptual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Establishes that this is a new tool, not more research. First 60 seconds must earn the next 9 minutes.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3  What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4-pillar card layout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None — framework description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Defines the 4 components. Answers 'why has this never been done' via data assembly insight.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4  Wallet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Hero number (Rs.8.68L Cr) + tier wallet bar + 4 callout boxes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Stores and Wallet sheet, cell F2  ·  City Level sheet for tier breakdown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First major data output. Plants the tier distribution seed before Slide 10 pays it off.</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5  Why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6-row comparison table: question, top-down ✗, framework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Conceptual — derived from framework capabilities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The most direct slide in the deck. Makes the investment case for WHY ground-up matters.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6  Tailwind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Stacked bar (B5.1 market) + 3 stat callouts (57%, 10.1%, &lt;20%)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B5.1 table, Demand workbook (Assumptions &amp; Triangulation sheet)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Brief context on value fashion. Positions it as the most consequential domain without dwelling on sub-segments.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7  How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4-step methodology cards + validation banner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HCES 2023-24, State GSDP databases, Pincode DB</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Makes every subsequent number defensible. The validation banner is the proof point.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8  Match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Two-column framework visual (demand inputs vs supply inputs) + MATCH box</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Summary of methodology inputs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Visual recap of the two-sided nature. Transitions from method to findings.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9  Gap (HERO)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Clustered bar: wallet vs organised revenue by tier + 85% callout box</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City Level sheet: tier-wise wallet and organised revenue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HERO SLIDE. The emotional peak. 3-second pause before speaking. 85% is the headline.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10  Tier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Clustered bar: wallet% vs store% by tier + 2 callout boxes + penetration mini-bar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City Level sheet (wallet/revenue by tier)  ·  Brand Summary (store count by tier)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The tier inversion is the most actionable insight: Metro over-stored, T3/T4 under-stored.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11  Inning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3 large stat cards: 31%, &lt;12%, Inning 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Derived from City Level data: organised Rev ÷ total wallet by tier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Contextualises the gap as structural and secular. Sets up the Zudio implication by establishing headroom.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12  Zudio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3 stat boxes (Rs.12,804 Cr, 958 stores, 1.5%) + context panel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Pincode model columns K/M (revenue)  ·  Summary sheet (store count)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First Zudio slide. States current position against the backdrop of the framework. 1.5% capture is both achievement and opportunity.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13  Runway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3 revenue boxes + store potential bar chart + 8× callout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Pincode model col N (Rs.88,723 Cr runway)  ·  Summary sheet (7,522 stores)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The quantified investment case. 'No growth assumed' is repeated twice — this pre-empts the macro sensitivity objection.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14  Direction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5 findings + investment direction banner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Summary of all preceding slides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Mirror of opening question. 5 findings. Final line. Full stop. No trailing remarks.</w:t>
            </w:r>
          </w:p>
        </w:tc>
      </w:tr>
    </w:tbl>
    <w:p>
      <w:pPr>
        <w:spacing w:after="60"/>
      </w:pPr>
      <w:r>
        <w:t xml:space="preserve"/>
      </w:r>
    </w:p>
    <w:p>
      <w:pPr>
        <w:spacing w:after="60"/>
      </w:pPr>
      <w:r>
        <w:t xml:space="preserve"/>
      </w:r>
    </w:p>
    <w:p>
      <w:pPr>
        <w:pageBreakBefore/>
      </w:pPr>
      <w:r>
        <w:t xml:space="preserve"/>
      </w:r>
    </w:p>
    <w:p>
      <w:pPr>
        <w:pStyle w:val="Heading2"/>
      </w:pPr>
      <w:r>
        <w:rPr>
          <w:rFonts w:ascii="Arial" w:cs="Arial" w:eastAsia="Arial" w:hAnsi="Arial"/>
          <w:b/>
          <w:bCs/>
          <w:color w:val="3A5FA0"/>
          <w:sz w:val="26"/>
          <w:szCs w:val="26"/>
        </w:rPr>
        <w:t xml:space="preserve">5. KEY NUMBERS — MEMORISE THESE COLD</w:t>
      </w:r>
    </w:p>
    <w:p>
      <w:pPr>
        <w:spacing w:after="60"/>
      </w:pPr>
      <w:r>
        <w:t xml:space="preserve"/>
      </w:r>
    </w:p>
    <w:p>
      <w:pPr>
        <w:spacing w:after="100"/>
        <w:jc w:val="left"/>
      </w:pPr>
      <w:r>
        <w:rPr>
          <w:rFonts w:ascii="Arial" w:cs="Arial" w:eastAsia="Arial" w:hAnsi="Arial"/>
          <w:b w:val="false"/>
          <w:bCs w:val="false"/>
          <w:color w:val="64748B"/>
          <w:sz w:val="20"/>
          <w:szCs w:val="20"/>
        </w:rPr>
        <w:t xml:space="preserve">Do not look these up mid-presentation. They must come instantly.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Number</w:t>
            </w:r>
          </w:p>
        </w:tc>
        <w:tc>
          <w:tcPr>
            <w:tcW w:type="dxa" w:w="6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means and where it comes from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₹8,67,765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Total India apparel + footwear wallet at current MPCE — Stores and Wallet sheet, cell F2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₹7,23,060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Apparel-only wallet (83%)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₹1,44,705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Footwear-only wallet (17%)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85%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Unorganised share: (8,67,765 − 1,29,906) ÷ 8,67,765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₹1,29,906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Total organised revenue — City Level sheet, sum across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31%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Metro organised penetration (59,180 ÷ 190,904)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T4 organised penetration (9,592 ÷ 121,487)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32%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T3+T4 share of total wallet (156,246+121,487) ÷ 867,765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T3+T4 share of organised stores — Brand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31,803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Total organised stores mapped — Brand Summary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19,694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Total pincodes analysed in the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₹12,804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current revenue — Pincode model column K/M sum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958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current stores — Summary sheet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wallet capture: 12,804 ÷ 8,67,765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₹88,723 Cr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additional runway — Pincode model column N sum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7,522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adjusted store potential — Summary sheet row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229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Zudio stores added FY26 — fastest single-year expansion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&lt;2%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Validation: ground-up output vs HCES national MPCE reconciliation error</w:t>
            </w:r>
          </w:p>
        </w:tc>
      </w:tr>
    </w:tbl>
    <w:p>
      <w:pPr>
        <w:spacing w:after="60"/>
      </w:pPr>
      <w:r>
        <w:t xml:space="preserve"/>
      </w:r>
    </w:p>
    <w:p>
      <w:pPr>
        <w:spacing w:after="60"/>
      </w:pPr>
      <w:r>
        <w:t xml:space="preserve"/>
      </w:r>
    </w:p>
    <w:p>
      <w:pPr>
        <w:pStyle w:val="Heading2"/>
      </w:pPr>
      <w:r>
        <w:rPr>
          <w:rFonts w:ascii="Arial" w:cs="Arial" w:eastAsia="Arial" w:hAnsi="Arial"/>
          <w:b/>
          <w:bCs/>
          <w:color w:val="3A5FA0"/>
          <w:sz w:val="26"/>
          <w:szCs w:val="26"/>
        </w:rPr>
        <w:t xml:space="preserve">6. WHY THIS IS INVESTMENT-GRADE ANALYSIS</w:t>
      </w:r>
    </w:p>
    <w:p>
      <w:pPr>
        <w:spacing w:after="60"/>
      </w:pPr>
      <w:r>
        <w:t xml:space="preserve"/>
      </w:r>
    </w:p>
    <w:p>
      <w:pPr>
        <w:spacing w:after="100"/>
        <w:jc w:val="left"/>
      </w:pPr>
      <w:r>
        <w:rPr>
          <w:rFonts w:ascii="Arial" w:cs="Arial" w:eastAsia="Arial" w:hAnsi="Arial"/>
          <w:b/>
          <w:bCs/>
          <w:color w:val="222222"/>
          <w:sz w:val="20"/>
          <w:szCs w:val="20"/>
        </w:rPr>
        <w:t xml:space="preserve">Three things separate this from a market report: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Criterion</w:t>
            </w:r>
          </w:p>
        </w:tc>
        <w:tc>
          <w:tcPr>
            <w:tcW w:type="dxa" w:w="68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How this analysis meets it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Specificity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Output is at pincode level, not national level. An investor can interrogate the model city-by-city, state-by-state, or tier-by-tier.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Validation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Aggregate output reconciles to within 2% of HCES 2023-24 national MPCE data. No unvalidated assumptions.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Actionability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The framework directly answers: is a retailer over- or under-invested in a given geography? What is the revenue opportunity in Aurangabad specifically?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Conservative framing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All runway analysis is at current MPCE. Zero economic growth assumed. The opportunity exists today — growth makes it larger.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18"/>
                <w:szCs w:val="18"/>
              </w:rPr>
              <w:t xml:space="preserve">Novel data assembly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761"/>
                <w:sz w:val="18"/>
                <w:szCs w:val="18"/>
              </w:rPr>
              <w:t xml:space="preserve">HCES + GSDP + store-level supply census had never been assembled together for India's apparel market. This creates an analytical moat.</w:t>
            </w:r>
          </w:p>
        </w:tc>
      </w:tr>
    </w:tbl>
    <w:p>
      <w:pPr>
        <w:spacing w:after="60"/>
      </w:pPr>
      <w:r>
        <w:t xml:space="preserve"/>
      </w:r>
    </w:p>
    <w:p>
      <w:pPr>
        <w:spacing w:after="60"/>
      </w:pPr>
      <w:r>
        <w:t xml:space="preserve"/>
      </w:r>
    </w:p>
    <w:p>
      <w:pPr>
        <w:pBdr>
          <w:bottom w:val="single" w:color="3A5FA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FA0" w:sz="4"/>
              <w:left w:val="single" w:color="3A5FA0" w:sz="16"/>
              <w:bottom w:val="single" w:color="3A5FA0" w:sz="4"/>
              <w:right w:val="single" w:color="3A5FA0" w:sz="4"/>
            </w:tcBorders>
            <w:shd w:fill="EEF3FF" w:val="clear"/>
            <w:tcMar>
              <w:top w:type="dxa" w:w="120"/>
              <w:left w:type="dxa" w:w="200"/>
              <w:bottom w:type="dxa" w:w="120"/>
              <w:right w:type="dxa" w:w="200"/>
            </w:tcMar>
          </w:tcPr>
          <w:p>
            <w:r>
              <w:rPr>
                <w:rFonts w:ascii="Arial" w:cs="Arial" w:eastAsia="Arial" w:hAnsi="Arial"/>
                <w:color w:val="1E2761"/>
                <w:sz w:val="20"/>
                <w:szCs w:val="20"/>
              </w:rPr>
              <w:t xml:space="preserve">CLOSING PRINCIPLE: The story works because it moves in one direction — from a problem investors recognise, through a method they can trust, to findings they couldn't access before, to an investment direction that is specific and actionable. Every slide either builds evidence or advances the argument. Nothing is decorative.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2761"/>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5FA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2026-06-22T13:09:20.694Z</dcterms:created>
  <dcterms:modified xsi:type="dcterms:W3CDTF">2026-06-22T13:09:20.694Z</dcterms:modified>
</cp:coreProperties>
</file>

<file path=docProps/custom.xml><?xml version="1.0" encoding="utf-8"?>
<Properties xmlns="http://schemas.openxmlformats.org/officeDocument/2006/custom-properties" xmlns:vt="http://schemas.openxmlformats.org/officeDocument/2006/docPropsVTypes"/>
</file>