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Georgia" w:cs="Georgia" w:eastAsia="Georgia" w:hAnsi="Georgia"/>
          <w:b/>
          <w:bCs/>
          <w:color w:val="512912"/>
          <w:sz w:val="72"/>
          <w:szCs w:val="72"/>
        </w:rPr>
        <w:t xml:space="preserve">GL BAJAJ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E8A020"/>
          <w:sz w:val="28"/>
          <w:szCs w:val="28"/>
        </w:rPr>
        <w:t xml:space="preserve">Training &amp; Placement · Career Development Centre</w:t>
      </w:r>
    </w:p>
    <w:p>
      <w:pPr>
        <w:pBdr>
          <w:top w:val="single" w:color="E8A020" w:sz="12" w:space="8"/>
          <w:bottom w:val="single" w:color="E8A020" w:sz="12" w:space="8"/>
        </w:pBdr>
        <w:spacing w:before="480" w:after="120"/>
        <w:jc w:val="center"/>
      </w:pPr>
      <w:r>
        <w:rPr>
          <w:rFonts w:ascii="Georgia" w:cs="Georgia" w:eastAsia="Georgia" w:hAnsi="Georgia"/>
          <w:b/>
          <w:bCs/>
          <w:color w:val="3A1C0B"/>
          <w:sz w:val="48"/>
          <w:szCs w:val="48"/>
        </w:rPr>
        <w:t xml:space="preserve">DESIGN SYSTEM DOCUMENT</w:t>
      </w:r>
    </w:p>
    <w:p>
      <w:pPr>
        <w:spacing w:before="320" w:after="80"/>
        <w:jc w:val="center"/>
      </w:pPr>
      <w:r>
        <w:rPr>
          <w:rFonts w:ascii="Calibri" w:cs="Calibri" w:eastAsia="Calibri" w:hAnsi="Calibri"/>
          <w:color w:val="7A5C42"/>
          <w:sz w:val="22"/>
          <w:szCs w:val="22"/>
        </w:rPr>
        <w:t xml:space="preserve">Version 1.0  |  Stack: Next.js 14 · Tailwind CSS · shadcn/ui</w:t>
      </w:r>
    </w:p>
    <w:p>
      <w:pPr>
        <w:spacing w:after="2400"/>
        <w:jc w:val="center"/>
      </w:pPr>
      <w:r>
        <w:rPr>
          <w:rFonts w:ascii="Calibri" w:cs="Calibri" w:eastAsia="Calibri" w:hAnsi="Calibri"/>
          <w:color w:val="D2A078"/>
          <w:sz w:val="20"/>
          <w:szCs w:val="20"/>
        </w:rPr>
        <w:t xml:space="preserve">Last Updated: 2025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F2EAD8" w:sz="4"/>
              <w:left w:val="single" w:color="F2EAD8" w:sz="4"/>
              <w:bottom w:val="single" w:color="F2EAD8" w:sz="4"/>
              <w:right w:val="single" w:color="F2EAD8" w:sz="4"/>
            </w:tcBorders>
            <w:shd w:fill="F2EAD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Project</w:t>
            </w:r>
          </w:p>
        </w:tc>
        <w:tc>
          <w:tcPr>
            <w:tcW w:type="dxa" w:w="4800"/>
            <w:tcBorders>
              <w:top w:val="single" w:color="F2EAD8" w:sz="4"/>
              <w:left w:val="single" w:color="F2EAD8" w:sz="4"/>
              <w:bottom w:val="single" w:color="F2EAD8" w:sz="4"/>
              <w:right w:val="single" w:color="F2EAD8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GL Bajaj T&amp;P Portal</w:t>
            </w:r>
          </w:p>
        </w:tc>
      </w:tr>
      <w:tr>
        <w:tc>
          <w:tcPr>
            <w:tcW w:type="dxa" w:w="2400"/>
            <w:tcBorders>
              <w:top w:val="single" w:color="F2EAD8" w:sz="4"/>
              <w:left w:val="single" w:color="F2EAD8" w:sz="4"/>
              <w:bottom w:val="single" w:color="F2EAD8" w:sz="4"/>
              <w:right w:val="single" w:color="F2EAD8" w:sz="4"/>
            </w:tcBorders>
            <w:shd w:fill="F2EAD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Tech Stack</w:t>
            </w:r>
          </w:p>
        </w:tc>
        <w:tc>
          <w:tcPr>
            <w:tcW w:type="dxa" w:w="4800"/>
            <w:tcBorders>
              <w:top w:val="single" w:color="F2EAD8" w:sz="4"/>
              <w:left w:val="single" w:color="F2EAD8" w:sz="4"/>
              <w:bottom w:val="single" w:color="F2EAD8" w:sz="4"/>
              <w:right w:val="single" w:color="F2EAD8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Next.js 14, Tailwind CSS, shadcn/ui, Framer Motion</w:t>
            </w:r>
          </w:p>
        </w:tc>
      </w:tr>
      <w:tr>
        <w:tc>
          <w:tcPr>
            <w:tcW w:type="dxa" w:w="2400"/>
            <w:tcBorders>
              <w:top w:val="single" w:color="F2EAD8" w:sz="4"/>
              <w:left w:val="single" w:color="F2EAD8" w:sz="4"/>
              <w:bottom w:val="single" w:color="F2EAD8" w:sz="4"/>
              <w:right w:val="single" w:color="F2EAD8" w:sz="4"/>
            </w:tcBorders>
            <w:shd w:fill="F2EAD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Developer</w:t>
            </w:r>
          </w:p>
        </w:tc>
        <w:tc>
          <w:tcPr>
            <w:tcW w:type="dxa" w:w="4800"/>
            <w:tcBorders>
              <w:top w:val="single" w:color="F2EAD8" w:sz="4"/>
              <w:left w:val="single" w:color="F2EAD8" w:sz="4"/>
              <w:bottom w:val="single" w:color="F2EAD8" w:sz="4"/>
              <w:right w:val="single" w:color="F2EAD8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Solo Developer</w:t>
            </w:r>
          </w:p>
        </w:tc>
      </w:tr>
      <w:tr>
        <w:tc>
          <w:tcPr>
            <w:tcW w:type="dxa" w:w="2400"/>
            <w:tcBorders>
              <w:top w:val="single" w:color="F2EAD8" w:sz="4"/>
              <w:left w:val="single" w:color="F2EAD8" w:sz="4"/>
              <w:bottom w:val="single" w:color="F2EAD8" w:sz="4"/>
              <w:right w:val="single" w:color="F2EAD8" w:sz="4"/>
            </w:tcBorders>
            <w:shd w:fill="F2EAD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Dashboards</w:t>
            </w:r>
          </w:p>
        </w:tc>
        <w:tc>
          <w:tcPr>
            <w:tcW w:type="dxa" w:w="4800"/>
            <w:tcBorders>
              <w:top w:val="single" w:color="F2EAD8" w:sz="4"/>
              <w:left w:val="single" w:color="F2EAD8" w:sz="4"/>
              <w:bottom w:val="single" w:color="F2EAD8" w:sz="4"/>
              <w:right w:val="single" w:color="F2EAD8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Student · T&amp;P Admin · CDC Trainer · Recruiter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E8A020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3A1C0B"/>
          <w:sz w:val="40"/>
          <w:szCs w:val="40"/>
        </w:rPr>
        <w:t xml:space="preserve">1. Brand Overview</w:t>
      </w:r>
    </w:p>
    <w:p>
      <w:pPr>
        <w:spacing w:after="120"/>
      </w:pPr>
      <w:r>
        <w:rPr>
          <w:rFonts w:ascii="Calibri" w:cs="Calibri" w:eastAsia="Calibri" w:hAnsi="Calibri"/>
          <w:color w:val="1E0F05"/>
          <w:sz w:val="22"/>
          <w:szCs w:val="22"/>
        </w:rPr>
        <w:t xml:space="preserve">GL Bajaj Institute of Technology and Management (GLBITM) is located in Knowledge Park III, Greater Noida. The T&amp;P Portal serves four user roles — Students, T&amp;P Admins, CDC Trainers, and Recruiters — each with a dedicated dashboard. This document defines the complete design system used across all interfaces.</w:t>
      </w:r>
    </w:p>
    <w:p>
      <w:pPr>
        <w:spacing w:before="16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512912"/>
          <w:sz w:val="32"/>
          <w:szCs w:val="32"/>
        </w:rPr>
        <w:t xml:space="preserve">1.1  Brand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51291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FEF3D2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Primary Brand Color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#512912 — Dark Teak Brown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#E8A020 — Warm Amber Gold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#FDF7EF — Warm Cream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Display Typeface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Cormorant Garamond (Serif)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Body Typeface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Outfit (Sans-serif)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Mono Typeface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Fira Code (Monospace)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Design Philosophy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Refined · Warm · Authoritative · Modern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Component Library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shadcn/ui (headless) + custom tokens</w:t>
            </w:r>
          </w:p>
        </w:tc>
      </w:tr>
    </w:tbl>
    <w:p>
      <w:pPr>
        <w:spacing w:before="16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512912"/>
          <w:sz w:val="32"/>
          <w:szCs w:val="32"/>
        </w:rPr>
        <w:t xml:space="preserve">1.2 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0F05"/>
          <w:sz w:val="22"/>
          <w:szCs w:val="22"/>
        </w:rPr>
        <w:t xml:space="preserve">Brand First — Every color, font, and spacing decision references a token, never a hardcoded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0F05"/>
          <w:sz w:val="22"/>
          <w:szCs w:val="22"/>
        </w:rPr>
        <w:t xml:space="preserve">One Source of Truth — globals.css is the single file where all tokens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0F05"/>
          <w:sz w:val="22"/>
          <w:szCs w:val="22"/>
        </w:rPr>
        <w:t xml:space="preserve">Accessible — WCAG AA contrast ratios maintained throughout, focus rings on all interactive elements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0F05"/>
          <w:sz w:val="22"/>
          <w:szCs w:val="22"/>
        </w:rPr>
        <w:t xml:space="preserve">Maintainable — shadcn/ui components are owned code, not a locked library dependency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0F05"/>
          <w:sz w:val="22"/>
          <w:szCs w:val="22"/>
        </w:rPr>
        <w:t xml:space="preserve">Consistent — Same tokens used across landing page, login, and all 4 dashboards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E8A020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3A1C0B"/>
          <w:sz w:val="40"/>
          <w:szCs w:val="40"/>
        </w:rPr>
        <w:t xml:space="preserve">2. Color System</w:t>
      </w:r>
    </w:p>
    <w:p>
      <w:pPr>
        <w:spacing w:after="120"/>
      </w:pPr>
      <w:r>
        <w:rPr>
          <w:rFonts w:ascii="Calibri" w:cs="Calibri" w:eastAsia="Calibri" w:hAnsi="Calibri"/>
          <w:color w:val="1E0F05"/>
          <w:sz w:val="22"/>
          <w:szCs w:val="22"/>
        </w:rPr>
        <w:t xml:space="preserve">All colors are defined as RGB channel triplets in globals.css :root block. This allows Tailwind's opacity modifier syntax (e.g. bg-brown-800/50) to work correctly. Never hardcode a hex value in a component — always use the token.</w:t>
      </w:r>
    </w:p>
    <w:p>
      <w:pPr>
        <w:spacing w:before="16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512912"/>
          <w:sz w:val="32"/>
          <w:szCs w:val="32"/>
        </w:rPr>
        <w:t xml:space="preserve">2.1  Primary — Brown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4060"/>
      </w:tblGrid>
      <w:tr>
        <w:tc>
          <w:tcPr>
            <w:tcW w:type="dxa" w:w="90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EF3D2"/>
                <w:sz w:val="20"/>
                <w:szCs w:val="20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EF3D2"/>
                <w:sz w:val="20"/>
                <w:szCs w:val="20"/>
              </w:rPr>
              <w:t xml:space="preserve">Token &amp; Hex</w:t>
            </w:r>
          </w:p>
        </w:tc>
        <w:tc>
          <w:tcPr>
            <w:tcW w:type="dxa" w:w="220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EF3D2"/>
                <w:sz w:val="20"/>
                <w:szCs w:val="20"/>
              </w:rPr>
              <w:t xml:space="preserve">Tailwind Class</w:t>
            </w:r>
          </w:p>
        </w:tc>
        <w:tc>
          <w:tcPr>
            <w:tcW w:type="dxa" w:w="406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EF3D2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080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0F05"/>
                <w:sz w:val="20"/>
                <w:szCs w:val="20"/>
              </w:rPr>
              <w:t xml:space="preserve">Brown 950</w:t>
            </w:r>
          </w:p>
          <w:p>
            <w:r>
              <w:rPr>
                <w:rFonts w:ascii="Courier New" w:cs="Courier New" w:eastAsia="Courier New" w:hAnsi="Courier New"/>
                <w:color w:val="7A5C42"/>
                <w:sz w:val="18"/>
                <w:szCs w:val="18"/>
              </w:rPr>
              <w:t xml:space="preserve">#0E0803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3A1F"/>
                <w:sz w:val="20"/>
                <w:szCs w:val="20"/>
              </w:rPr>
              <w:t xml:space="preserve">brown-950</w:t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A5C42"/>
                <w:sz w:val="19"/>
                <w:szCs w:val="19"/>
              </w:rPr>
              <w:t xml:space="preserve">Near-black background, deepest footer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1C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0F05"/>
                <w:sz w:val="20"/>
                <w:szCs w:val="20"/>
              </w:rPr>
              <w:t xml:space="preserve">Brown 900</w:t>
            </w:r>
          </w:p>
          <w:p>
            <w:r>
              <w:rPr>
                <w:rFonts w:ascii="Courier New" w:cs="Courier New" w:eastAsia="Courier New" w:hAnsi="Courier New"/>
                <w:color w:val="7A5C42"/>
                <w:sz w:val="18"/>
                <w:szCs w:val="18"/>
              </w:rPr>
              <w:t xml:space="preserve">#3A1C0B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3A1F"/>
                <w:sz w:val="20"/>
                <w:szCs w:val="20"/>
              </w:rPr>
              <w:t xml:space="preserve">brown-900</w:t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A5C42"/>
                <w:sz w:val="19"/>
                <w:szCs w:val="19"/>
              </w:rPr>
              <w:t xml:space="preserve">Hero bg, navbar bg, darkest text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1291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0F05"/>
                <w:sz w:val="20"/>
                <w:szCs w:val="20"/>
              </w:rPr>
              <w:t xml:space="preserve">Brown 800 ★</w:t>
            </w:r>
          </w:p>
          <w:p>
            <w:r>
              <w:rPr>
                <w:rFonts w:ascii="Courier New" w:cs="Courier New" w:eastAsia="Courier New" w:hAnsi="Courier New"/>
                <w:color w:val="7A5C42"/>
                <w:sz w:val="18"/>
                <w:szCs w:val="18"/>
              </w:rPr>
              <w:t xml:space="preserve">#512912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3A1F"/>
                <w:sz w:val="20"/>
                <w:szCs w:val="20"/>
              </w:rPr>
              <w:t xml:space="preserve">brown-800</w:t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A5C42"/>
                <w:sz w:val="19"/>
                <w:szCs w:val="19"/>
              </w:rPr>
              <w:t xml:space="preserve">MAIN BRAND — buttons, headings, borders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0F05"/>
                <w:sz w:val="20"/>
                <w:szCs w:val="20"/>
              </w:rPr>
              <w:t xml:space="preserve">Brown 700</w:t>
            </w:r>
          </w:p>
          <w:p>
            <w:r>
              <w:rPr>
                <w:rFonts w:ascii="Courier New" w:cs="Courier New" w:eastAsia="Courier New" w:hAnsi="Courier New"/>
                <w:color w:val="7A5C42"/>
                <w:sz w:val="18"/>
                <w:szCs w:val="18"/>
              </w:rPr>
              <w:t xml:space="preserve">#6B3A1F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3A1F"/>
                <w:sz w:val="20"/>
                <w:szCs w:val="20"/>
              </w:rPr>
              <w:t xml:space="preserve">brown-700</w:t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A5C42"/>
                <w:sz w:val="19"/>
                <w:szCs w:val="19"/>
              </w:rPr>
              <w:t xml:space="preserve">Hover states for primary elements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523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0F05"/>
                <w:sz w:val="20"/>
                <w:szCs w:val="20"/>
              </w:rPr>
              <w:t xml:space="preserve">Brown 600</w:t>
            </w:r>
          </w:p>
          <w:p>
            <w:r>
              <w:rPr>
                <w:rFonts w:ascii="Courier New" w:cs="Courier New" w:eastAsia="Courier New" w:hAnsi="Courier New"/>
                <w:color w:val="7A5C42"/>
                <w:sz w:val="18"/>
                <w:szCs w:val="18"/>
              </w:rPr>
              <w:t xml:space="preserve">#8C5230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3A1F"/>
                <w:sz w:val="20"/>
                <w:szCs w:val="20"/>
              </w:rPr>
              <w:t xml:space="preserve">brown-600</w:t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A5C42"/>
                <w:sz w:val="19"/>
                <w:szCs w:val="19"/>
              </w:rPr>
              <w:t xml:space="preserve">Lighter brown tones, icon backgrounds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F724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0F05"/>
                <w:sz w:val="20"/>
                <w:szCs w:val="20"/>
              </w:rPr>
              <w:t xml:space="preserve">Brown 500</w:t>
            </w:r>
          </w:p>
          <w:p>
            <w:r>
              <w:rPr>
                <w:rFonts w:ascii="Courier New" w:cs="Courier New" w:eastAsia="Courier New" w:hAnsi="Courier New"/>
                <w:color w:val="7A5C42"/>
                <w:sz w:val="18"/>
                <w:szCs w:val="18"/>
              </w:rPr>
              <w:t xml:space="preserve">#AF724B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3A1F"/>
                <w:sz w:val="20"/>
                <w:szCs w:val="20"/>
              </w:rPr>
              <w:t xml:space="preserve">brown-500</w:t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A5C42"/>
                <w:sz w:val="19"/>
                <w:szCs w:val="19"/>
              </w:rPr>
              <w:t xml:space="preserve">Mid tones, tertiary text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2A07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0F05"/>
                <w:sz w:val="20"/>
                <w:szCs w:val="20"/>
              </w:rPr>
              <w:t xml:space="preserve">Brown 400</w:t>
            </w:r>
          </w:p>
          <w:p>
            <w:r>
              <w:rPr>
                <w:rFonts w:ascii="Courier New" w:cs="Courier New" w:eastAsia="Courier New" w:hAnsi="Courier New"/>
                <w:color w:val="7A5C42"/>
                <w:sz w:val="18"/>
                <w:szCs w:val="18"/>
              </w:rPr>
              <w:t xml:space="preserve">#D2A078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3A1F"/>
                <w:sz w:val="20"/>
                <w:szCs w:val="20"/>
              </w:rPr>
              <w:t xml:space="preserve">brown-400</w:t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A5C42"/>
                <w:sz w:val="19"/>
                <w:szCs w:val="19"/>
              </w:rPr>
              <w:t xml:space="preserve">Input icons, placeholder hints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EA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0F05"/>
                <w:sz w:val="20"/>
                <w:szCs w:val="20"/>
              </w:rPr>
              <w:t xml:space="preserve">Brown 100</w:t>
            </w:r>
          </w:p>
          <w:p>
            <w:r>
              <w:rPr>
                <w:rFonts w:ascii="Courier New" w:cs="Courier New" w:eastAsia="Courier New" w:hAnsi="Courier New"/>
                <w:color w:val="7A5C42"/>
                <w:sz w:val="18"/>
                <w:szCs w:val="18"/>
              </w:rPr>
              <w:t xml:space="preserve">#F2EAD8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3A1F"/>
                <w:sz w:val="20"/>
                <w:szCs w:val="20"/>
              </w:rPr>
              <w:t xml:space="preserve">brown-100 / sand</w:t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A5C42"/>
                <w:sz w:val="19"/>
                <w:szCs w:val="19"/>
              </w:rPr>
              <w:t xml:space="preserve">Section backgrounds, card hover bg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7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0F05"/>
                <w:sz w:val="20"/>
                <w:szCs w:val="20"/>
              </w:rPr>
              <w:t xml:space="preserve">Brown 50</w:t>
            </w:r>
          </w:p>
          <w:p>
            <w:r>
              <w:rPr>
                <w:rFonts w:ascii="Courier New" w:cs="Courier New" w:eastAsia="Courier New" w:hAnsi="Courier New"/>
                <w:color w:val="7A5C42"/>
                <w:sz w:val="18"/>
                <w:szCs w:val="18"/>
              </w:rPr>
              <w:t xml:space="preserve">#FDF7EF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3A1F"/>
                <w:sz w:val="20"/>
                <w:szCs w:val="20"/>
              </w:rPr>
              <w:t xml:space="preserve">brown-50 / cream</w:t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A5C42"/>
                <w:sz w:val="19"/>
                <w:szCs w:val="19"/>
              </w:rPr>
              <w:t xml:space="preserve">Page background, light surfaces</w:t>
            </w:r>
          </w:p>
        </w:tc>
      </w:tr>
    </w:tbl>
    <w:p>
      <w:pPr>
        <w:spacing w:before="16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512912"/>
          <w:sz w:val="32"/>
          <w:szCs w:val="32"/>
        </w:rPr>
        <w:t xml:space="preserve">2.2  Accent — Amber Gold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4060"/>
      </w:tblGrid>
      <w:tr>
        <w:tc>
          <w:tcPr>
            <w:tcW w:type="dxa" w:w="90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EF3D2"/>
                <w:sz w:val="20"/>
                <w:szCs w:val="20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EF3D2"/>
                <w:sz w:val="20"/>
                <w:szCs w:val="20"/>
              </w:rPr>
              <w:t xml:space="preserve">Token &amp; Hex</w:t>
            </w:r>
          </w:p>
        </w:tc>
        <w:tc>
          <w:tcPr>
            <w:tcW w:type="dxa" w:w="220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EF3D2"/>
                <w:sz w:val="20"/>
                <w:szCs w:val="20"/>
              </w:rPr>
              <w:t xml:space="preserve">Tailwind Class</w:t>
            </w:r>
          </w:p>
        </w:tc>
        <w:tc>
          <w:tcPr>
            <w:tcW w:type="dxa" w:w="406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EF3D2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7A1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0F05"/>
                <w:sz w:val="20"/>
                <w:szCs w:val="20"/>
              </w:rPr>
              <w:t xml:space="preserve">Amber 900</w:t>
            </w:r>
          </w:p>
          <w:p>
            <w:r>
              <w:rPr>
                <w:rFonts w:ascii="Courier New" w:cs="Courier New" w:eastAsia="Courier New" w:hAnsi="Courier New"/>
                <w:color w:val="7A5C42"/>
                <w:sz w:val="18"/>
                <w:szCs w:val="18"/>
              </w:rPr>
              <w:t xml:space="preserve">#C07A10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3A1F"/>
                <w:sz w:val="20"/>
                <w:szCs w:val="20"/>
              </w:rPr>
              <w:t xml:space="preserve">amber-700</w:t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A5C42"/>
                <w:sz w:val="19"/>
                <w:szCs w:val="19"/>
              </w:rPr>
              <w:t xml:space="preserve">Dark amber, forgot password links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0F05"/>
                <w:sz w:val="20"/>
                <w:szCs w:val="20"/>
              </w:rPr>
              <w:t xml:space="preserve">Amber 500 ★</w:t>
            </w:r>
          </w:p>
          <w:p>
            <w:r>
              <w:rPr>
                <w:rFonts w:ascii="Courier New" w:cs="Courier New" w:eastAsia="Courier New" w:hAnsi="Courier New"/>
                <w:color w:val="7A5C42"/>
                <w:sz w:val="18"/>
                <w:szCs w:val="18"/>
              </w:rPr>
              <w:t xml:space="preserve">#E8A020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3A1F"/>
                <w:sz w:val="20"/>
                <w:szCs w:val="20"/>
              </w:rPr>
              <w:t xml:space="preserve">amber-500</w:t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A5C42"/>
                <w:sz w:val="19"/>
                <w:szCs w:val="19"/>
              </w:rPr>
              <w:t xml:space="preserve">MAIN ACCENT — CTAs, stat numbers, icons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BB4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0F05"/>
                <w:sz w:val="20"/>
                <w:szCs w:val="20"/>
              </w:rPr>
              <w:t xml:space="preserve">Amber 400</w:t>
            </w:r>
          </w:p>
          <w:p>
            <w:r>
              <w:rPr>
                <w:rFonts w:ascii="Courier New" w:cs="Courier New" w:eastAsia="Courier New" w:hAnsi="Courier New"/>
                <w:color w:val="7A5C42"/>
                <w:sz w:val="18"/>
                <w:szCs w:val="18"/>
              </w:rPr>
              <w:t xml:space="preserve">#F5BB40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3A1F"/>
                <w:sz w:val="20"/>
                <w:szCs w:val="20"/>
              </w:rPr>
              <w:t xml:space="preserve">amber-400</w:t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A5C42"/>
                <w:sz w:val="19"/>
                <w:szCs w:val="19"/>
              </w:rPr>
              <w:t xml:space="preserve">Hover states for amber buttons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D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0F05"/>
                <w:sz w:val="20"/>
                <w:szCs w:val="20"/>
              </w:rPr>
              <w:t xml:space="preserve">Amber 100</w:t>
            </w:r>
          </w:p>
          <w:p>
            <w:r>
              <w:rPr>
                <w:rFonts w:ascii="Courier New" w:cs="Courier New" w:eastAsia="Courier New" w:hAnsi="Courier New"/>
                <w:color w:val="7A5C42"/>
                <w:sz w:val="18"/>
                <w:szCs w:val="18"/>
              </w:rPr>
              <w:t xml:space="preserve">#FEF3D2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3A1F"/>
                <w:sz w:val="20"/>
                <w:szCs w:val="20"/>
              </w:rPr>
              <w:t xml:space="preserve">amber-100</w:t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A5C42"/>
                <w:sz w:val="19"/>
                <w:szCs w:val="19"/>
              </w:rPr>
              <w:t xml:space="preserve">Pale amber tints, role context pills</w:t>
            </w:r>
          </w:p>
        </w:tc>
      </w:tr>
    </w:tbl>
    <w:p>
      <w:pPr>
        <w:spacing w:before="16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512912"/>
          <w:sz w:val="32"/>
          <w:szCs w:val="32"/>
        </w:rPr>
        <w:t xml:space="preserve">2.3  Semantic / shadcn Tokens</w:t>
      </w:r>
    </w:p>
    <w:p>
      <w:pPr>
        <w:spacing w:after="120"/>
      </w:pPr>
      <w:r>
        <w:rPr>
          <w:rFonts w:ascii="Calibri" w:cs="Calibri" w:eastAsia="Calibri" w:hAnsi="Calibri"/>
          <w:color w:val="1E0F05"/>
          <w:sz w:val="22"/>
          <w:szCs w:val="22"/>
        </w:rPr>
        <w:t xml:space="preserve">These are the tokens shadcn/ui components read automatically. They are aliases pointing to the brand scale above.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51291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CSS Variable</w:t>
            </w:r>
          </w:p>
        </w:tc>
        <w:tc>
          <w:tcPr>
            <w:tcW w:type="dxa" w:w="636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FEF3D2"/>
                <w:sz w:val="20"/>
                <w:szCs w:val="20"/>
              </w:rPr>
              <w:t xml:space="preserve">Maps To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--primary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#512912  (brown-800)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--primary-foreground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#FDF7EF  (cream)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--accent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#E8A020  (amber-500)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--accent-foreground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#3A1C0B  (brown-900)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--background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#FDF7EF  (cream)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--foreground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#1E0F05  (near-black text)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--muted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#F2EAD8  (sand / brown-100)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--muted-foreground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#7A5C42  (muted brown text)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--border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rgb(220 200 180)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--ring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#512912  (focus outline = primary)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--destructive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rgb(220 38 38)  (red)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E8A020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3A1C0B"/>
          <w:sz w:val="40"/>
          <w:szCs w:val="40"/>
        </w:rPr>
        <w:t xml:space="preserve">3. Typography System</w:t>
      </w:r>
    </w:p>
    <w:p>
      <w:pPr>
        <w:spacing w:after="120"/>
      </w:pPr>
      <w:r>
        <w:rPr>
          <w:rFonts w:ascii="Calibri" w:cs="Calibri" w:eastAsia="Calibri" w:hAnsi="Calibri"/>
          <w:color w:val="1E0F05"/>
          <w:sz w:val="22"/>
          <w:szCs w:val="22"/>
        </w:rPr>
        <w:t xml:space="preserve">The type system uses two typefaces: Cormorant Garamond for display headings (h1–h3) to convey institutional authority and elegance, and Outfit for all body copy, UI labels, and sub-headings for modern clarity. Both are loaded via next/font/google for performance optimization.</w:t>
      </w:r>
    </w:p>
    <w:p>
      <w:pPr>
        <w:spacing w:before="16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512912"/>
          <w:sz w:val="32"/>
          <w:szCs w:val="32"/>
        </w:rPr>
        <w:t xml:space="preserve">3.1  Typefaces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51291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FEF3D2"/>
                <w:sz w:val="20"/>
                <w:szCs w:val="20"/>
              </w:rPr>
              <w:t xml:space="preserve">Typeface Details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Display (h1–h3)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Cormorant Garamond — weights 600, 700 — normal + italic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Body / UI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Outfit — weights 300, 400, 500, 600, 700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Monospace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Fira Code — weight 400 — for code snippets only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CSS Variable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--font-display, --font-body, --font-mono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Next.js import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Cormorant_Garamond, Outfit from next/font/google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Variable injection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Applied as --font-display and --font-body via className on &lt;html&gt;</w:t>
            </w:r>
          </w:p>
        </w:tc>
      </w:tr>
    </w:tbl>
    <w:p>
      <w:pPr>
        <w:spacing w:before="16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512912"/>
          <w:sz w:val="32"/>
          <w:szCs w:val="32"/>
        </w:rPr>
        <w:t xml:space="preserve">3.2  Font Size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51291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FEF3D2"/>
                <w:sz w:val="20"/>
                <w:szCs w:val="20"/>
              </w:rPr>
              <w:t xml:space="preserve">Size</w:t>
            </w:r>
          </w:p>
        </w:tc>
        <w:tc>
          <w:tcPr>
            <w:tcW w:type="dxa" w:w="506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FEF3D2"/>
                <w:sz w:val="20"/>
                <w:szCs w:val="20"/>
              </w:rPr>
              <w:t xml:space="preserve">Usage / Where Applied</w:t>
            </w:r>
          </w:p>
        </w:tc>
      </w:tr>
      <w:tr>
        <w:tc>
          <w:tcPr>
            <w:tcW w:type="dxa" w:w="250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12912"/>
                <w:sz w:val="20"/>
                <w:szCs w:val="20"/>
              </w:rPr>
              <w:t xml:space="preserve">--text-xs</w:t>
            </w:r>
          </w:p>
        </w:tc>
        <w:tc>
          <w:tcPr>
            <w:tcW w:type="dxa" w:w="180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3A1F"/>
                <w:sz w:val="20"/>
                <w:szCs w:val="20"/>
              </w:rPr>
              <w:t xml:space="preserve">12px / 0.75rem</w:t>
            </w:r>
          </w:p>
        </w:tc>
        <w:tc>
          <w:tcPr>
            <w:tcW w:type="dxa" w:w="506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A5C42"/>
                <w:sz w:val="20"/>
                <w:szCs w:val="20"/>
              </w:rPr>
              <w:t xml:space="preserve">Badge labels, hints, section eyebrows, input hints</w:t>
            </w:r>
          </w:p>
        </w:tc>
      </w:tr>
      <w:tr>
        <w:tc>
          <w:tcPr>
            <w:tcW w:type="dxa" w:w="250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12912"/>
                <w:sz w:val="20"/>
                <w:szCs w:val="20"/>
              </w:rPr>
              <w:t xml:space="preserve">--text-sm</w:t>
            </w:r>
          </w:p>
        </w:tc>
        <w:tc>
          <w:tcPr>
            <w:tcW w:type="dxa" w:w="180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3A1F"/>
                <w:sz w:val="20"/>
                <w:szCs w:val="20"/>
              </w:rPr>
              <w:t xml:space="preserve">14px / 0.875rem</w:t>
            </w:r>
          </w:p>
        </w:tc>
        <w:tc>
          <w:tcPr>
            <w:tcW w:type="dxa" w:w="506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A5C42"/>
                <w:sz w:val="20"/>
                <w:szCs w:val="20"/>
              </w:rPr>
              <w:t xml:space="preserve">Caption text, small labels, table content</w:t>
            </w:r>
          </w:p>
        </w:tc>
      </w:tr>
      <w:tr>
        <w:tc>
          <w:tcPr>
            <w:tcW w:type="dxa" w:w="250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12912"/>
                <w:sz w:val="20"/>
                <w:szCs w:val="20"/>
              </w:rPr>
              <w:t xml:space="preserve">--text-base</w:t>
            </w:r>
          </w:p>
        </w:tc>
        <w:tc>
          <w:tcPr>
            <w:tcW w:type="dxa" w:w="180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3A1F"/>
                <w:sz w:val="20"/>
                <w:szCs w:val="20"/>
              </w:rPr>
              <w:t xml:space="preserve">16px / 1rem</w:t>
            </w:r>
          </w:p>
        </w:tc>
        <w:tc>
          <w:tcPr>
            <w:tcW w:type="dxa" w:w="506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A5C42"/>
                <w:sz w:val="20"/>
                <w:szCs w:val="20"/>
              </w:rPr>
              <w:t xml:space="preserve">Default body text, paragraphs (body default)</w:t>
            </w:r>
          </w:p>
        </w:tc>
      </w:tr>
      <w:tr>
        <w:tc>
          <w:tcPr>
            <w:tcW w:type="dxa" w:w="250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12912"/>
                <w:sz w:val="20"/>
                <w:szCs w:val="20"/>
              </w:rPr>
              <w:t xml:space="preserve">--text-lg</w:t>
            </w:r>
          </w:p>
        </w:tc>
        <w:tc>
          <w:tcPr>
            <w:tcW w:type="dxa" w:w="180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3A1F"/>
                <w:sz w:val="20"/>
                <w:szCs w:val="20"/>
              </w:rPr>
              <w:t xml:space="preserve">18px / 1.125rem</w:t>
            </w:r>
          </w:p>
        </w:tc>
        <w:tc>
          <w:tcPr>
            <w:tcW w:type="dxa" w:w="506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A5C42"/>
                <w:sz w:val="20"/>
                <w:szCs w:val="20"/>
              </w:rPr>
              <w:t xml:space="preserve">Large body descriptions, hero sub-text</w:t>
            </w:r>
          </w:p>
        </w:tc>
      </w:tr>
      <w:tr>
        <w:tc>
          <w:tcPr>
            <w:tcW w:type="dxa" w:w="250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12912"/>
                <w:sz w:val="20"/>
                <w:szCs w:val="20"/>
              </w:rPr>
              <w:t xml:space="preserve">--text-xl</w:t>
            </w:r>
          </w:p>
        </w:tc>
        <w:tc>
          <w:tcPr>
            <w:tcW w:type="dxa" w:w="180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3A1F"/>
                <w:sz w:val="20"/>
                <w:szCs w:val="20"/>
              </w:rPr>
              <w:t xml:space="preserve">20px / 1.25rem</w:t>
            </w:r>
          </w:p>
        </w:tc>
        <w:tc>
          <w:tcPr>
            <w:tcW w:type="dxa" w:w="506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A5C42"/>
                <w:sz w:val="20"/>
                <w:szCs w:val="20"/>
              </w:rPr>
              <w:t xml:space="preserve">h4 headings, card titles, large labels</w:t>
            </w:r>
          </w:p>
        </w:tc>
      </w:tr>
      <w:tr>
        <w:tc>
          <w:tcPr>
            <w:tcW w:type="dxa" w:w="250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12912"/>
                <w:sz w:val="20"/>
                <w:szCs w:val="20"/>
              </w:rPr>
              <w:t xml:space="preserve">--text-2xl</w:t>
            </w:r>
          </w:p>
        </w:tc>
        <w:tc>
          <w:tcPr>
            <w:tcW w:type="dxa" w:w="180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3A1F"/>
                <w:sz w:val="20"/>
                <w:szCs w:val="20"/>
              </w:rPr>
              <w:t xml:space="preserve">24px / 1.5rem</w:t>
            </w:r>
          </w:p>
        </w:tc>
        <w:tc>
          <w:tcPr>
            <w:tcW w:type="dxa" w:w="506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A5C42"/>
                <w:sz w:val="20"/>
                <w:szCs w:val="20"/>
              </w:rPr>
              <w:t xml:space="preserve">Card section headings, modal titles</w:t>
            </w:r>
          </w:p>
        </w:tc>
      </w:tr>
      <w:tr>
        <w:tc>
          <w:tcPr>
            <w:tcW w:type="dxa" w:w="250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12912"/>
                <w:sz w:val="20"/>
                <w:szCs w:val="20"/>
              </w:rPr>
              <w:t xml:space="preserve">--text-3xl</w:t>
            </w:r>
          </w:p>
        </w:tc>
        <w:tc>
          <w:tcPr>
            <w:tcW w:type="dxa" w:w="180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3A1F"/>
                <w:sz w:val="20"/>
                <w:szCs w:val="20"/>
              </w:rPr>
              <w:t xml:space="preserve">30px / 1.875rem</w:t>
            </w:r>
          </w:p>
        </w:tc>
        <w:tc>
          <w:tcPr>
            <w:tcW w:type="dxa" w:w="506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A5C42"/>
                <w:sz w:val="20"/>
                <w:szCs w:val="20"/>
              </w:rPr>
              <w:t xml:space="preserve">h3 headings, section sub-titles</w:t>
            </w:r>
          </w:p>
        </w:tc>
      </w:tr>
      <w:tr>
        <w:tc>
          <w:tcPr>
            <w:tcW w:type="dxa" w:w="250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12912"/>
                <w:sz w:val="20"/>
                <w:szCs w:val="20"/>
              </w:rPr>
              <w:t xml:space="preserve">--text-4xl</w:t>
            </w:r>
          </w:p>
        </w:tc>
        <w:tc>
          <w:tcPr>
            <w:tcW w:type="dxa" w:w="180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3A1F"/>
                <w:sz w:val="20"/>
                <w:szCs w:val="20"/>
              </w:rPr>
              <w:t xml:space="preserve">36px / 2.25rem</w:t>
            </w:r>
          </w:p>
        </w:tc>
        <w:tc>
          <w:tcPr>
            <w:tcW w:type="dxa" w:w="506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A5C42"/>
                <w:sz w:val="20"/>
                <w:szCs w:val="20"/>
              </w:rPr>
              <w:t xml:space="preserve">Small display text</w:t>
            </w:r>
          </w:p>
        </w:tc>
      </w:tr>
      <w:tr>
        <w:tc>
          <w:tcPr>
            <w:tcW w:type="dxa" w:w="250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12912"/>
                <w:sz w:val="20"/>
                <w:szCs w:val="20"/>
              </w:rPr>
              <w:t xml:space="preserve">--text-5xl</w:t>
            </w:r>
          </w:p>
        </w:tc>
        <w:tc>
          <w:tcPr>
            <w:tcW w:type="dxa" w:w="180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3A1F"/>
                <w:sz w:val="20"/>
                <w:szCs w:val="20"/>
              </w:rPr>
              <w:t xml:space="preserve">48px / 3rem</w:t>
            </w:r>
          </w:p>
        </w:tc>
        <w:tc>
          <w:tcPr>
            <w:tcW w:type="dxa" w:w="506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A5C42"/>
                <w:sz w:val="20"/>
                <w:szCs w:val="20"/>
              </w:rPr>
              <w:t xml:space="preserve">Large display, stats numbers (fixed)</w:t>
            </w:r>
          </w:p>
        </w:tc>
      </w:tr>
      <w:tr>
        <w:tc>
          <w:tcPr>
            <w:tcW w:type="dxa" w:w="250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12912"/>
                <w:sz w:val="20"/>
                <w:szCs w:val="20"/>
              </w:rPr>
              <w:t xml:space="preserve">--text-hero</w:t>
            </w:r>
          </w:p>
        </w:tc>
        <w:tc>
          <w:tcPr>
            <w:tcW w:type="dxa" w:w="180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3A1F"/>
                <w:sz w:val="20"/>
                <w:szCs w:val="20"/>
              </w:rPr>
              <w:t xml:space="preserve">clamp(44px → 76px)</w:t>
            </w:r>
          </w:p>
        </w:tc>
        <w:tc>
          <w:tcPr>
            <w:tcW w:type="dxa" w:w="506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A5C42"/>
                <w:sz w:val="20"/>
                <w:szCs w:val="20"/>
              </w:rPr>
              <w:t xml:space="preserve">h1 — responsive, scales with viewport</w:t>
            </w:r>
          </w:p>
        </w:tc>
      </w:tr>
      <w:tr>
        <w:tc>
          <w:tcPr>
            <w:tcW w:type="dxa" w:w="250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12912"/>
                <w:sz w:val="20"/>
                <w:szCs w:val="20"/>
              </w:rPr>
              <w:t xml:space="preserve">--text-h2</w:t>
            </w:r>
          </w:p>
        </w:tc>
        <w:tc>
          <w:tcPr>
            <w:tcW w:type="dxa" w:w="180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B3A1F"/>
                <w:sz w:val="20"/>
                <w:szCs w:val="20"/>
              </w:rPr>
              <w:t xml:space="preserve">clamp(30px → 54px)</w:t>
            </w:r>
          </w:p>
        </w:tc>
        <w:tc>
          <w:tcPr>
            <w:tcW w:type="dxa" w:w="506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A5C42"/>
                <w:sz w:val="20"/>
                <w:szCs w:val="20"/>
              </w:rPr>
              <w:t xml:space="preserve">h2 — responsive, scales with viewport</w:t>
            </w:r>
          </w:p>
        </w:tc>
      </w:tr>
    </w:tbl>
    <w:p>
      <w:pPr>
        <w:spacing w:before="16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512912"/>
          <w:sz w:val="32"/>
          <w:szCs w:val="32"/>
        </w:rPr>
        <w:t xml:space="preserve">3.3  Font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51291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FEF3D2"/>
                <w:sz w:val="20"/>
                <w:szCs w:val="20"/>
              </w:rPr>
              <w:t xml:space="preserve">Value &amp; Usage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--font-light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300 — Hero descriptions, body light text, card body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--font-normal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400 — Default body text, paragraph content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--font-medium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500 — Nav links, subtle emphasis, table values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--font-semibold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600 — Labels, card sub-titles, nav logo text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--font-bold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700 — Headings h1–h6, buttons, CTAs, section tags</w:t>
            </w:r>
          </w:p>
        </w:tc>
      </w:tr>
    </w:tbl>
    <w:p>
      <w:pPr>
        <w:spacing w:before="16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512912"/>
          <w:sz w:val="32"/>
          <w:szCs w:val="32"/>
        </w:rPr>
        <w:t xml:space="preserve">3.4  Line Heights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51291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FEF3D2"/>
                <w:sz w:val="20"/>
                <w:szCs w:val="20"/>
              </w:rPr>
              <w:t xml:space="preserve">Value &amp; Where Applied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--leading-none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1.0 — Stat numbers, display figures (no extra space)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--leading-tight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1.1 — h1, h2, h3 all headings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--leading-snug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1.3 — h4, h5, card titles, compact content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--leading-normal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1.6 — Body default, paragraphs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--leading-relaxed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1.75 — Descriptions, testimonials, card body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--leading-loose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1.9 — Small text, captions, input hints</w:t>
            </w:r>
          </w:p>
        </w:tc>
      </w:tr>
    </w:tbl>
    <w:p>
      <w:pPr>
        <w:spacing w:before="16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512912"/>
          <w:sz w:val="32"/>
          <w:szCs w:val="32"/>
        </w:rPr>
        <w:t xml:space="preserve">3.5  Letter Spacing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51291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FEF3D2"/>
                <w:sz w:val="20"/>
                <w:szCs w:val="20"/>
              </w:rPr>
              <w:t xml:space="preserve">Value &amp; Usage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--tracking-tighter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-0.05em — Very large display headings only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--tracking-tight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-0.025em — h1, h2 headings standard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--tracking-normal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0em — Body default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--tracking-wide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0.025em — Buttons, form labels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--tracking-wider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0.05em — Small caps, badge labels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--tracking-widest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0.15em — Section tags, eyebrow labels (uppercase)</w:t>
            </w:r>
          </w:p>
        </w:tc>
      </w:tr>
    </w:tbl>
    <w:p>
      <w:pPr>
        <w:spacing w:before="16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512912"/>
          <w:sz w:val="32"/>
          <w:szCs w:val="32"/>
        </w:rPr>
        <w:t xml:space="preserve">3.6  Applied Heading Styles</w:t>
      </w:r>
    </w:p>
    <w:p>
      <w:pPr>
        <w:spacing w:after="120"/>
      </w:pPr>
      <w:r>
        <w:rPr>
          <w:rFonts w:ascii="Calibri" w:cs="Calibri" w:eastAsia="Calibri" w:hAnsi="Calibri"/>
          <w:color w:val="1E0F05"/>
          <w:sz w:val="22"/>
          <w:szCs w:val="22"/>
        </w:rPr>
        <w:t xml:space="preserve">These are the exact CSS properties applied globally via @layer base in globals.css: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51291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FEF3D2"/>
                <w:sz w:val="20"/>
                <w:szCs w:val="20"/>
              </w:rPr>
              <w:t xml:space="preserve">Font / Size / Weight / Line-height / Letter-spacing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h1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Cormorant Garamond / clamp(44–76px) / 700 / 1.1 / -0.025em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h2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Cormorant Garamond / clamp(30–54px) / 700 / 1.1 / -0.025em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h3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Cormorant Garamond / 30px / 700 / 1.3 / -0.025em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h4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Outfit / 20px / 700 / 1.3 / normal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h5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Outfit / 16px / 700 / 1.3 / 0.15em / UPPERCASE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h6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Outfit / 14px / 600 / 1.3 / 0.05em / UPPERCASE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p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Outfit / 16px / 400 / 1.6 / normal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small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Outfit / 14px / 400 / 1.9 / normal — muted color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E8A020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3A1C0B"/>
          <w:sz w:val="40"/>
          <w:szCs w:val="40"/>
        </w:rPr>
        <w:t xml:space="preserve">4. Spacing System</w:t>
      </w:r>
    </w:p>
    <w:p>
      <w:pPr>
        <w:spacing w:after="120"/>
      </w:pPr>
      <w:r>
        <w:rPr>
          <w:rFonts w:ascii="Calibri" w:cs="Calibri" w:eastAsia="Calibri" w:hAnsi="Calibri"/>
          <w:color w:val="1E0F05"/>
          <w:sz w:val="22"/>
          <w:szCs w:val="22"/>
        </w:rPr>
        <w:t xml:space="preserve">A 9-step spacing scale maps to both CSS variables and Tailwind classes. All padding, margin, and gap values should reference this scale. Never use arbitrary pixel values.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51291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 / Tailwind</w:t>
            </w:r>
          </w:p>
        </w:tc>
        <w:tc>
          <w:tcPr>
            <w:tcW w:type="dxa" w:w="636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FEF3D2"/>
                <w:sz w:val="20"/>
                <w:szCs w:val="20"/>
              </w:rPr>
              <w:t xml:space="preserve">Value &amp; Typical Usage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--space-1 / space-1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4px — Tight gaps, icon-to-text spacing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--space-2 / space-2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8px — Input padding vertical, badge padding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--space-3 / space-3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12px — Small card internal spacing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--space-4 / space-4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16px — Default component padding, form gaps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--space-5 / space-5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24px — Section sub-gaps, card padding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--space-6 / space-6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32px — Card padding standard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--space-7 / space-7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48px — Section header spacing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--space-8 / space-8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64px — Between major sections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--space-9 / space-9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96px — Full section top/bottom padding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E8A020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3A1C0B"/>
          <w:sz w:val="40"/>
          <w:szCs w:val="40"/>
        </w:rPr>
        <w:t xml:space="preserve">5. Border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51291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FEF3D2"/>
                <w:sz w:val="20"/>
                <w:szCs w:val="20"/>
              </w:rPr>
              <w:t xml:space="preserve">Value &amp; Usage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--radius-sm / rounded-sm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6px — Buttons, input fields, small badges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--radius-md / rounded-md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14px — Cards, panels, modal dialogs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--radius-lg / rounded-lg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22px — Large cards, hero panels, CDC info card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--radius-xl / rounded-xl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32px — Feature sections, full-bleed panels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--radius-full / rounded-full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9999px — Pills, avatars, live dots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--radius (shadcn default)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6px — Same as radius-sm, used by shadcn internally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E8A020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3A1C0B"/>
          <w:sz w:val="40"/>
          <w:szCs w:val="40"/>
        </w:rPr>
        <w:t xml:space="preserve">6. Shadow System</w:t>
      </w:r>
    </w:p>
    <w:p>
      <w:pPr>
        <w:spacing w:after="120"/>
      </w:pPr>
      <w:r>
        <w:rPr>
          <w:rFonts w:ascii="Calibri" w:cs="Calibri" w:eastAsia="Calibri" w:hAnsi="Calibri"/>
          <w:color w:val="1E0F05"/>
          <w:sz w:val="22"/>
          <w:szCs w:val="22"/>
        </w:rPr>
        <w:t xml:space="preserve">All shadows are tinted with the primary brand color (#512912) rather than neutral black. This keeps the visual language warm and cohesive.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51291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 / Tailwind</w:t>
            </w:r>
          </w:p>
        </w:tc>
        <w:tc>
          <w:tcPr>
            <w:tcW w:type="dxa" w:w="636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FEF3D2"/>
                <w:sz w:val="20"/>
                <w:szCs w:val="20"/>
              </w:rPr>
              <w:t xml:space="preserve">Value &amp; Usage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--shadow-sm / shadow-sm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0 2px 8px rgba(81,41,18,0.08) — Default card resting state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--shadow-md / shadow-md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0 8px 24px rgba(81,41,18,0.12) — Hover state elevation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--shadow-lg / shadow-lg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0 20px 50px rgba(81,41,18,0.16) — Modal, dropdown, active card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--shadow-amber / shadow-amber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0 10px 28px rgba(232,160,32,0.40) — Amber CTA buttons only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E8A020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3A1C0B"/>
          <w:sz w:val="40"/>
          <w:szCs w:val="40"/>
        </w:rPr>
        <w:t xml:space="preserve">7. Transitions &amp; Animation</w:t>
      </w:r>
    </w:p>
    <w:p>
      <w:pPr>
        <w:spacing w:before="16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512912"/>
          <w:sz w:val="32"/>
          <w:szCs w:val="32"/>
        </w:rPr>
        <w:t xml:space="preserve">7.1  Transition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51291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FEF3D2"/>
                <w:sz w:val="20"/>
                <w:szCs w:val="20"/>
              </w:rPr>
              <w:t xml:space="preserve">Value &amp; Usage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--transition-fast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150ms ease — Toggle states, checkboxes, radio buttons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--transition-base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220ms ease — Default hover, focus, color changes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--transition-slow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400ms ease — Page-level state changes, panel slides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--transition-spring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300ms cubic-bezier(0.34, 1.56, 0.64, 1) — Bouncy button press, modal open</w:t>
            </w:r>
          </w:p>
        </w:tc>
      </w:tr>
    </w:tbl>
    <w:p>
      <w:pPr>
        <w:spacing w:before="16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512912"/>
          <w:sz w:val="32"/>
          <w:szCs w:val="32"/>
        </w:rPr>
        <w:t xml:space="preserve">7.2  Animation 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51291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 / Keyframe</w:t>
            </w:r>
          </w:p>
        </w:tc>
        <w:tc>
          <w:tcPr>
            <w:tcW w:type="dxa" w:w="636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FEF3D2"/>
                <w:sz w:val="20"/>
                <w:szCs w:val="20"/>
              </w:rPr>
              <w:t xml:space="preserve">Effect &amp; Usage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animate-fade-up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Opacity 0→1 + translateY 24px→0 over 700ms — Page section entry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animate-fade-in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Opacity 0→1 over 500ms — Simple reveal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animate-ticker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translateX 0→-50% over 28s linear infinite — Recruiter name ticker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animate-pulse-dot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Scale + opacity pulse 2s — Live status indicator dots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animate-bob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translateY 0→7px→0 2.2s — Scroll hint cue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delay-1 to delay-5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100ms, 200ms, 350ms, 500ms, 650ms — Stagger entry animations</w:t>
            </w:r>
          </w:p>
        </w:tc>
      </w:tr>
    </w:tbl>
    <w:p>
      <w:pPr>
        <w:spacing w:before="16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512912"/>
          <w:sz w:val="32"/>
          <w:szCs w:val="32"/>
        </w:rPr>
        <w:t xml:space="preserve">7.3  Framer Motion Patterns</w:t>
      </w:r>
    </w:p>
    <w:p>
      <w:pPr>
        <w:spacing w:after="120"/>
      </w:pPr>
      <w:r>
        <w:rPr>
          <w:rFonts w:ascii="Calibri" w:cs="Calibri" w:eastAsia="Calibri" w:hAnsi="Calibri"/>
          <w:color w:val="1E0F05"/>
          <w:sz w:val="22"/>
          <w:szCs w:val="22"/>
        </w:rPr>
        <w:t xml:space="preserve">Use Framer Motion for scroll-triggered animations on all section entries. This is the standard pattern used across the project:</w:t>
      </w:r>
    </w:p>
    <w:p>
      <w:pPr>
        <w:pBdr>
          <w:left w:val="single" w:color="E8A020" w:sz="12" w:space="6"/>
        </w:pBdr>
        <w:shd w:fill="FDF7EF" w:val="clear"/>
        <w:spacing w:before="80" w:after="160"/>
        <w:ind w:left="360"/>
      </w:pPr>
      <w:r>
        <w:rPr>
          <w:rFonts w:ascii="Courier New" w:cs="Courier New" w:eastAsia="Courier New" w:hAnsi="Courier New"/>
          <w:color w:val="6B3A1F"/>
          <w:sz w:val="18"/>
          <w:szCs w:val="18"/>
        </w:rPr>
        <w:t xml:space="preserve">fadeUp variant: { hidden: { opacity:0, y:24 }, visible: { opacity:1, y:0, transition: { duration:0.65, ease:"easeOut" } } }</w:t>
      </w:r>
    </w:p>
    <w:p>
      <w:pPr>
        <w:spacing w:after="120"/>
      </w:pPr>
      <w:r>
        <w:rPr>
          <w:rFonts w:ascii="Calibri" w:cs="Calibri" w:eastAsia="Calibri" w:hAnsi="Calibri"/>
          <w:color w:val="1E0F05"/>
          <w:sz w:val="22"/>
          <w:szCs w:val="22"/>
        </w:rPr>
        <w:t xml:space="preserve">stagger variant applies staggerChildren: 0.12s so sibling elements reveal one after another.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E8A020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3A1C0B"/>
          <w:sz w:val="40"/>
          <w:szCs w:val="40"/>
        </w:rPr>
        <w:t xml:space="preserve">8. Z-Index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51291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FEF3D2"/>
                <w:sz w:val="20"/>
                <w:szCs w:val="20"/>
              </w:rPr>
              <w:t xml:space="preserve">Value &amp; Layer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--z-base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0 — Default document flow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--z-raised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10 — Floating elements, decorative overlays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--z-dropdown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100 — Dropdown menus, tooltips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--z-sticky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200 — Sticky navbar (always visible)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--z-overlay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300 — Backdrop overlays, dimmed backgrounds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--z-modal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400 — Dialog modals, drawers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--z-toast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500 — Toast notifications (always on top)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E8A020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3A1C0B"/>
          <w:sz w:val="40"/>
          <w:szCs w:val="40"/>
        </w:rPr>
        <w:t xml:space="preserve">9. Component System</w:t>
      </w:r>
    </w:p>
    <w:p>
      <w:pPr>
        <w:spacing w:after="120"/>
      </w:pPr>
      <w:r>
        <w:rPr>
          <w:rFonts w:ascii="Calibri" w:cs="Calibri" w:eastAsia="Calibri" w:hAnsi="Calibri"/>
          <w:color w:val="1E0F05"/>
          <w:sz w:val="22"/>
          <w:szCs w:val="22"/>
        </w:rPr>
        <w:t xml:space="preserve">The component system combines shadcn/ui (for behavior/accessibility) with custom CSS utility classes (for brand styling). All components live in /src/components/ui/ and are fully owned code.</w:t>
      </w:r>
    </w:p>
    <w:p>
      <w:pPr>
        <w:spacing w:before="16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512912"/>
          <w:sz w:val="32"/>
          <w:szCs w:val="32"/>
        </w:rPr>
        <w:t xml:space="preserve">9.1  shadcn/ui Components Used</w:t>
      </w:r>
    </w:p>
    <w:p>
      <w:pPr>
        <w:spacing w:after="120"/>
      </w:pPr>
      <w:r>
        <w:rPr>
          <w:rFonts w:ascii="Calibri" w:cs="Calibri" w:eastAsia="Calibri" w:hAnsi="Calibri"/>
          <w:color w:val="1E0F05"/>
          <w:sz w:val="22"/>
          <w:szCs w:val="22"/>
        </w:rPr>
        <w:t xml:space="preserve">Install these with: npx shadcn-ui@latest add [name]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51291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FEF3D2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Button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All CTAs — extended with brand variants (primary, accent, ghost)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Card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Dashboard panels, stat blocks, feature cards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Dialog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Recruiter enquiry form, confirmation modals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Sheet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Mobile navigation drawer (slides from left)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Accordion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FAQ section, expandable content blocks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Tabs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Student/Recruiter dual-view switcher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Input + Label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All form fields (login, enquiry, profile edit)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Toast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Form submission feedback, drive registration confirm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Badge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Status tags — Placed, Shortlisted, Pending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Separator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Visual dividers inside cards and sidebars</w:t>
            </w:r>
          </w:p>
        </w:tc>
      </w:tr>
    </w:tbl>
    <w:p>
      <w:pPr>
        <w:spacing w:before="16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512912"/>
          <w:sz w:val="32"/>
          <w:szCs w:val="32"/>
        </w:rPr>
        <w:t xml:space="preserve">9.2  Custom CSS Utility Classes</w:t>
      </w:r>
    </w:p>
    <w:p>
      <w:pPr>
        <w:spacing w:after="120"/>
      </w:pPr>
      <w:r>
        <w:rPr>
          <w:rFonts w:ascii="Calibri" w:cs="Calibri" w:eastAsia="Calibri" w:hAnsi="Calibri"/>
          <w:color w:val="1E0F05"/>
          <w:sz w:val="22"/>
          <w:szCs w:val="22"/>
        </w:rPr>
        <w:t xml:space="preserve">Defined in globals.css @layer components. Use these for consistent brand styling: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51291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36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FEF3D2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.btn-primary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Brown-800 filled button — default CTA on light backgrounds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.btn-accent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Amber-500 button — hero CTAs, most prominent actions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.btn-ghost-light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Outline button for light backgrounds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.btn-ghost-dark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Outline button for dark/brown backgrounds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.card-base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Standard white card with brand shadow and hover lift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.card-dark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Glassmorphism card for dark panel backgrounds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.section-tag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Small uppercase tag above section headings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.section-h2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Responsive h2 with display font and brand color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.gold-rule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Short amber-gold underline used below h2 elements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.r-pill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Recruiter/tag pill — border style, hover fills brown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.r-pill-featured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Highlighted recruiter pill with light brown fill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.eyebrow-dark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Badge label for use on dark/brown backgrounds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.live-dot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Pulsing amber dot for live/active status indicators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.step-circle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Numbered circle for process step indicators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.trust-badge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Accreditation badge on dark backgrounds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.testi-card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Testimonial card with quote mark styling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.stat-number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Large serif stat display number in amber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.text-gradient-amber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Amber gradient text for highlight moments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.section-pad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Standard section padding: py-24 px-[5vw]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E8A020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3A1C0B"/>
          <w:sz w:val="40"/>
          <w:szCs w:val="40"/>
        </w:rPr>
        <w:t xml:space="preserve">10. Dashboard Architecture</w:t>
      </w:r>
    </w:p>
    <w:p>
      <w:pPr>
        <w:spacing w:before="16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512912"/>
          <w:sz w:val="32"/>
          <w:szCs w:val="32"/>
        </w:rPr>
        <w:t xml:space="preserve">10.1  Role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51291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FEF3D2"/>
                <w:sz w:val="20"/>
                <w:szCs w:val="20"/>
              </w:rPr>
              <w:t xml:space="preserve">Route &amp; Description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Student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/student/dashboard — Profile, training, placement tracker, drives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T&amp;P Admin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/admin/dashboard — Full system control, analytics, drive management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CDC Trainer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/trainer/dashboard — Batch management, attendance, assessments</w:t>
            </w:r>
          </w:p>
        </w:tc>
      </w:tr>
      <w:tr>
        <w:tc>
          <w:tcPr>
            <w:tcW w:type="dxa" w:w="300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DF7E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Recruiter</w:t>
            </w:r>
          </w:p>
        </w:tc>
        <w:tc>
          <w:tcPr>
            <w:tcW w:type="dxa" w:w="6360"/>
            <w:tcBorders>
              <w:top w:val="single" w:color="E8E0D8" w:sz="4"/>
              <w:left w:val="single" w:color="E8E0D8" w:sz="4"/>
              <w:bottom w:val="single" w:color="E8E0D8" w:sz="4"/>
              <w:right w:val="single" w:color="E8E0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0F05"/>
                <w:sz w:val="20"/>
                <w:szCs w:val="20"/>
              </w:rPr>
              <w:t xml:space="preserve">/recruiter/dashboard — Company profile, drives, student browsing</w:t>
            </w:r>
          </w:p>
        </w:tc>
      </w:tr>
    </w:tbl>
    <w:p>
      <w:pPr>
        <w:spacing w:before="16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512912"/>
          <w:sz w:val="32"/>
          <w:szCs w:val="32"/>
        </w:rPr>
        <w:t xml:space="preserve">10.2  Student Profile Data Layers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0F05"/>
          <w:sz w:val="22"/>
          <w:szCs w:val="22"/>
        </w:rPr>
        <w:t xml:space="preserve">Personal Info — Name, photo, DOB, gender, contact,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0F05"/>
          <w:sz w:val="22"/>
          <w:szCs w:val="22"/>
        </w:rPr>
        <w:t xml:space="preserve">Academic Info — Branch, batch, roll no., CGPA per semester, backlogs, 10th/12th marks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0F05"/>
          <w:sz w:val="22"/>
          <w:szCs w:val="22"/>
        </w:rPr>
        <w:t xml:space="preserve">Training Profile — CDC batch, module progress, attendance %, scores, trainer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0F05"/>
          <w:sz w:val="22"/>
          <w:szCs w:val="22"/>
        </w:rPr>
        <w:t xml:space="preserve">Placement Profile — Resume, skills, drives applied/shortlisted/offered, interview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0F05"/>
          <w:sz w:val="22"/>
          <w:szCs w:val="22"/>
        </w:rPr>
        <w:t xml:space="preserve">Documents — Uploaded Aadhar, marksheets, consent forms, activity log</w:t>
      </w:r>
    </w:p>
    <w:p>
      <w:pPr>
        <w:spacing w:before="16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512912"/>
          <w:sz w:val="32"/>
          <w:szCs w:val="32"/>
        </w:rPr>
        <w:t xml:space="preserve">10.3 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40"/>
        <w:gridCol w:w="1740"/>
        <w:gridCol w:w="1740"/>
        <w:gridCol w:w="1940"/>
      </w:tblGrid>
      <w:tr>
        <w:tc>
          <w:tcPr>
            <w:tcW w:type="dxa" w:w="220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EF3D2"/>
                <w:sz w:val="20"/>
                <w:szCs w:val="20"/>
              </w:rPr>
              <w:t xml:space="preserve">Data</w:t>
            </w:r>
          </w:p>
        </w:tc>
        <w:tc>
          <w:tcPr>
            <w:tcW w:type="dxa" w:w="174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EF3D2"/>
                <w:sz w:val="20"/>
                <w:szCs w:val="20"/>
              </w:rPr>
              <w:t xml:space="preserve">Student</w:t>
            </w:r>
          </w:p>
        </w:tc>
        <w:tc>
          <w:tcPr>
            <w:tcW w:type="dxa" w:w="174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EF3D2"/>
                <w:sz w:val="20"/>
                <w:szCs w:val="20"/>
              </w:rPr>
              <w:t xml:space="preserve">CDC Trainer</w:t>
            </w:r>
          </w:p>
        </w:tc>
        <w:tc>
          <w:tcPr>
            <w:tcW w:type="dxa" w:w="174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EF3D2"/>
                <w:sz w:val="20"/>
                <w:szCs w:val="20"/>
              </w:rPr>
              <w:t xml:space="preserve">T&amp;P Admin</w:t>
            </w:r>
          </w:p>
        </w:tc>
        <w:tc>
          <w:tcPr>
            <w:tcW w:type="dxa" w:w="1940"/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3A1C0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EF3D2"/>
                <w:sz w:val="20"/>
                <w:szCs w:val="20"/>
              </w:rPr>
              <w:t xml:space="preserve">Recruiter</w:t>
            </w:r>
          </w:p>
        </w:tc>
      </w:tr>
      <w:tr>
        <w:tc>
          <w:tcPr>
            <w:tcW w:type="dxa" w:w="220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Personal Info</w:t>
            </w:r>
          </w:p>
        </w:tc>
        <w:tc>
          <w:tcPr>
            <w:tcW w:type="dxa" w:w="174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0F05"/>
                <w:sz w:val="20"/>
                <w:szCs w:val="20"/>
              </w:rPr>
              <w:t xml:space="preserve">Edit own</w:t>
            </w:r>
          </w:p>
        </w:tc>
        <w:tc>
          <w:tcPr>
            <w:tcW w:type="dxa" w:w="174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0F05"/>
                <w:sz w:val="20"/>
                <w:szCs w:val="20"/>
              </w:rPr>
              <w:t xml:space="preserve">View only</w:t>
            </w:r>
          </w:p>
        </w:tc>
        <w:tc>
          <w:tcPr>
            <w:tcW w:type="dxa" w:w="174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0F05"/>
                <w:sz w:val="20"/>
                <w:szCs w:val="20"/>
              </w:rPr>
              <w:t xml:space="preserve">Edit all</w:t>
            </w:r>
          </w:p>
        </w:tc>
        <w:tc>
          <w:tcPr>
            <w:tcW w:type="dxa" w:w="194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0F05"/>
                <w:sz w:val="20"/>
                <w:szCs w:val="20"/>
              </w:rPr>
              <w:t xml:space="preserve">No access</w:t>
            </w:r>
          </w:p>
        </w:tc>
      </w:tr>
      <w:tr>
        <w:tc>
          <w:tcPr>
            <w:tcW w:type="dxa" w:w="220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Academic Info</w:t>
            </w:r>
          </w:p>
        </w:tc>
        <w:tc>
          <w:tcPr>
            <w:tcW w:type="dxa" w:w="174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0F05"/>
                <w:sz w:val="20"/>
                <w:szCs w:val="20"/>
              </w:rPr>
              <w:t xml:space="preserve">View only</w:t>
            </w:r>
          </w:p>
        </w:tc>
        <w:tc>
          <w:tcPr>
            <w:tcW w:type="dxa" w:w="174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0F05"/>
                <w:sz w:val="20"/>
                <w:szCs w:val="20"/>
              </w:rPr>
              <w:t xml:space="preserve">View only</w:t>
            </w:r>
          </w:p>
        </w:tc>
        <w:tc>
          <w:tcPr>
            <w:tcW w:type="dxa" w:w="174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0F05"/>
                <w:sz w:val="20"/>
                <w:szCs w:val="20"/>
              </w:rPr>
              <w:t xml:space="preserve">Edit all</w:t>
            </w:r>
          </w:p>
        </w:tc>
        <w:tc>
          <w:tcPr>
            <w:tcW w:type="dxa" w:w="194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0F05"/>
                <w:sz w:val="20"/>
                <w:szCs w:val="20"/>
              </w:rPr>
              <w:t xml:space="preserve">Filtered view</w:t>
            </w:r>
          </w:p>
        </w:tc>
      </w:tr>
      <w:tr>
        <w:tc>
          <w:tcPr>
            <w:tcW w:type="dxa" w:w="220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Training Profile</w:t>
            </w:r>
          </w:p>
        </w:tc>
        <w:tc>
          <w:tcPr>
            <w:tcW w:type="dxa" w:w="174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0F05"/>
                <w:sz w:val="20"/>
                <w:szCs w:val="20"/>
              </w:rPr>
              <w:t xml:space="preserve">View only</w:t>
            </w:r>
          </w:p>
        </w:tc>
        <w:tc>
          <w:tcPr>
            <w:tcW w:type="dxa" w:w="174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0F05"/>
                <w:sz w:val="20"/>
                <w:szCs w:val="20"/>
              </w:rPr>
              <w:t xml:space="preserve">Edit (own batch)</w:t>
            </w:r>
          </w:p>
        </w:tc>
        <w:tc>
          <w:tcPr>
            <w:tcW w:type="dxa" w:w="174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0F05"/>
                <w:sz w:val="20"/>
                <w:szCs w:val="20"/>
              </w:rPr>
              <w:t xml:space="preserve">View all</w:t>
            </w:r>
          </w:p>
        </w:tc>
        <w:tc>
          <w:tcPr>
            <w:tcW w:type="dxa" w:w="194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0F05"/>
                <w:sz w:val="20"/>
                <w:szCs w:val="20"/>
              </w:rPr>
              <w:t xml:space="preserve">No access</w:t>
            </w:r>
          </w:p>
        </w:tc>
      </w:tr>
      <w:tr>
        <w:tc>
          <w:tcPr>
            <w:tcW w:type="dxa" w:w="220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Placement Profile</w:t>
            </w:r>
          </w:p>
        </w:tc>
        <w:tc>
          <w:tcPr>
            <w:tcW w:type="dxa" w:w="174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0F05"/>
                <w:sz w:val="20"/>
                <w:szCs w:val="20"/>
              </w:rPr>
              <w:t xml:space="preserve">Edit own</w:t>
            </w:r>
          </w:p>
        </w:tc>
        <w:tc>
          <w:tcPr>
            <w:tcW w:type="dxa" w:w="174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0F05"/>
                <w:sz w:val="20"/>
                <w:szCs w:val="20"/>
              </w:rPr>
              <w:t xml:space="preserve">No access</w:t>
            </w:r>
          </w:p>
        </w:tc>
        <w:tc>
          <w:tcPr>
            <w:tcW w:type="dxa" w:w="174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0F05"/>
                <w:sz w:val="20"/>
                <w:szCs w:val="20"/>
              </w:rPr>
              <w:t xml:space="preserve">Edit all</w:t>
            </w:r>
          </w:p>
        </w:tc>
        <w:tc>
          <w:tcPr>
            <w:tcW w:type="dxa" w:w="194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0F05"/>
                <w:sz w:val="20"/>
                <w:szCs w:val="20"/>
              </w:rPr>
              <w:t xml:space="preserve">Shortlisted only</w:t>
            </w:r>
          </w:p>
        </w:tc>
      </w:tr>
      <w:tr>
        <w:tc>
          <w:tcPr>
            <w:tcW w:type="dxa" w:w="220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Drive Management</w:t>
            </w:r>
          </w:p>
        </w:tc>
        <w:tc>
          <w:tcPr>
            <w:tcW w:type="dxa" w:w="174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0F05"/>
                <w:sz w:val="20"/>
                <w:szCs w:val="20"/>
              </w:rPr>
              <w:t xml:space="preserve">Apply only</w:t>
            </w:r>
          </w:p>
        </w:tc>
        <w:tc>
          <w:tcPr>
            <w:tcW w:type="dxa" w:w="174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0F05"/>
                <w:sz w:val="20"/>
                <w:szCs w:val="20"/>
              </w:rPr>
              <w:t xml:space="preserve">No access</w:t>
            </w:r>
          </w:p>
        </w:tc>
        <w:tc>
          <w:tcPr>
            <w:tcW w:type="dxa" w:w="174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0F05"/>
                <w:sz w:val="20"/>
                <w:szCs w:val="20"/>
              </w:rPr>
              <w:t xml:space="preserve">Full control</w:t>
            </w:r>
          </w:p>
        </w:tc>
        <w:tc>
          <w:tcPr>
            <w:tcW w:type="dxa" w:w="194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0F05"/>
                <w:sz w:val="20"/>
                <w:szCs w:val="20"/>
              </w:rPr>
              <w:t xml:space="preserve">Own drives</w:t>
            </w:r>
          </w:p>
        </w:tc>
      </w:tr>
      <w:tr>
        <w:tc>
          <w:tcPr>
            <w:tcW w:type="dxa" w:w="220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D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12912"/>
                <w:sz w:val="20"/>
                <w:szCs w:val="20"/>
              </w:rPr>
              <w:t xml:space="preserve">Analytics</w:t>
            </w:r>
          </w:p>
        </w:tc>
        <w:tc>
          <w:tcPr>
            <w:tcW w:type="dxa" w:w="174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0F05"/>
                <w:sz w:val="20"/>
                <w:szCs w:val="20"/>
              </w:rPr>
              <w:t xml:space="preserve">Own stats</w:t>
            </w:r>
          </w:p>
        </w:tc>
        <w:tc>
          <w:tcPr>
            <w:tcW w:type="dxa" w:w="174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0F05"/>
                <w:sz w:val="20"/>
                <w:szCs w:val="20"/>
              </w:rPr>
              <w:t xml:space="preserve">Batch stats</w:t>
            </w:r>
          </w:p>
        </w:tc>
        <w:tc>
          <w:tcPr>
            <w:tcW w:type="dxa" w:w="174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0F05"/>
                <w:sz w:val="20"/>
                <w:szCs w:val="20"/>
              </w:rPr>
              <w:t xml:space="preserve">Institute-wide</w:t>
            </w:r>
          </w:p>
        </w:tc>
        <w:tc>
          <w:tcPr>
            <w:tcW w:type="dxa" w:w="1940"/>
            <w:tcBorders>
              <w:top w:val="single" w:color="E5DDD4" w:sz="4"/>
              <w:left w:val="single" w:color="E5DDD4" w:sz="4"/>
              <w:bottom w:val="single" w:color="E5DDD4" w:sz="4"/>
              <w:right w:val="single" w:color="E5DD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0F05"/>
                <w:sz w:val="20"/>
                <w:szCs w:val="20"/>
              </w:rPr>
              <w:t xml:space="preserve">No access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E8A020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3A1C0B"/>
          <w:sz w:val="40"/>
          <w:szCs w:val="40"/>
        </w:rPr>
        <w:t xml:space="preserve">11. Project File Structure</w:t>
      </w:r>
    </w:p>
    <w:p>
      <w:pPr>
        <w:pBdr>
          <w:left w:val="single" w:color="E8A020" w:sz="16" w:space="8"/>
        </w:pBdr>
        <w:shd w:fill="FDF7EF" w:val="clear"/>
        <w:spacing w:before="80" w:after="160"/>
        <w:ind w:left="360"/>
      </w:pPr>
      <w:r>
        <w:rPr>
          <w:rFonts w:ascii="Courier New" w:cs="Courier New" w:eastAsia="Courier New" w:hAnsi="Courier New"/>
          <w:color w:val="6B3A1F"/>
          <w:sz w:val="18"/>
          <w:szCs w:val="18"/>
        </w:rPr>
        <w:t xml:space="preserve">src/
├── app/
│   ├── layout.tsx              # fonts, metadata, providers
│   ├── page.tsx                # landing page
│   ├── globals.css             # ALL design tokens live here
│   └── (routes)/
│       ├── student/
│       ├── admin/
│       ├── trainer/
│       └── recruiter/
├── components/
│   ├── ui/                     # shadcn components (owned code)
│   ├── layout/
│   │   ├── Navbar.tsx
│   │   └── Footer.tsx
│   └── sections/               # landing page sections
│       ├── Hero.tsx
│       ├── NumbersBar.tsx
│       ├── CDC.tsx
│       └── ...
├── lib/
│   └── utils.ts                # shadcn cn() helper
└── data/
    ├── recruiters.ts           # all content as data arrays
    ├── stats.ts
    └── testimonials.ts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E8A020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3A1C0B"/>
          <w:sz w:val="40"/>
          <w:szCs w:val="40"/>
        </w:rPr>
        <w:t xml:space="preserve">12. The 3 Golden Rules</w:t>
      </w:r>
    </w:p>
    <w:p>
      <w:pPr>
        <w:spacing w:before="160"/>
      </w:pPr>
    </w:p>
    <w:p>
      <w:pPr>
        <w:spacing w:before="120" w:after="80"/>
      </w:pPr>
      <w:r>
        <w:rPr>
          <w:rFonts w:ascii="Calibri" w:cs="Calibri" w:eastAsia="Calibri" w:hAnsi="Calibri"/>
          <w:b/>
          <w:bCs/>
          <w:color w:val="512912"/>
          <w:sz w:val="26"/>
          <w:szCs w:val="26"/>
        </w:rPr>
        <w:t xml:space="preserve">Rule 1 — Never hardcode colors</w:t>
      </w:r>
    </w:p>
    <w:p>
      <w:pPr>
        <w:spacing w:after="120"/>
      </w:pPr>
      <w:r>
        <w:rPr>
          <w:rFonts w:ascii="Calibri" w:cs="Calibri" w:eastAsia="Calibri" w:hAnsi="Calibri"/>
          <w:color w:val="1E0F05"/>
          <w:sz w:val="22"/>
          <w:szCs w:val="22"/>
        </w:rPr>
        <w:t xml:space="preserve">Never write #512912, #E8A020, or any hex value directly in a component. Always use the Tailwind token (bg-brown-800) or CSS variable (rgb(var(--color-primary-800))). If the brand color changes, you update ONE line in globals.css and the entire project updates automatically.</w:t>
      </w:r>
    </w:p>
    <w:p>
      <w:pPr>
        <w:spacing w:before="160"/>
      </w:pPr>
    </w:p>
    <w:p>
      <w:pPr>
        <w:spacing w:before="120" w:after="80"/>
      </w:pPr>
      <w:r>
        <w:rPr>
          <w:rFonts w:ascii="Calibri" w:cs="Calibri" w:eastAsia="Calibri" w:hAnsi="Calibri"/>
          <w:b/>
          <w:bCs/>
          <w:color w:val="512912"/>
          <w:sz w:val="26"/>
          <w:szCs w:val="26"/>
        </w:rPr>
        <w:t xml:space="preserve">Rule 2 — All content lives in /data/</w:t>
      </w:r>
    </w:p>
    <w:p>
      <w:pPr>
        <w:spacing w:after="120"/>
      </w:pPr>
      <w:r>
        <w:rPr>
          <w:rFonts w:ascii="Calibri" w:cs="Calibri" w:eastAsia="Calibri" w:hAnsi="Calibri"/>
          <w:color w:val="1E0F05"/>
          <w:sz w:val="22"/>
          <w:szCs w:val="22"/>
        </w:rPr>
        <w:t xml:space="preserve">Recruiter names, placement statistics, testimonial quotes, process steps — none of these are hardcoded inside JSX. They live as typed arrays in /src/data/. When the T&amp;P office updates stats, you edit one data file, not hunt through 15 components.</w:t>
      </w:r>
    </w:p>
    <w:p>
      <w:pPr>
        <w:spacing w:before="160"/>
      </w:pPr>
    </w:p>
    <w:p>
      <w:pPr>
        <w:spacing w:before="120" w:after="80"/>
      </w:pPr>
      <w:r>
        <w:rPr>
          <w:rFonts w:ascii="Calibri" w:cs="Calibri" w:eastAsia="Calibri" w:hAnsi="Calibri"/>
          <w:b/>
          <w:bCs/>
          <w:color w:val="512912"/>
          <w:sz w:val="26"/>
          <w:szCs w:val="26"/>
        </w:rPr>
        <w:t xml:space="preserve">Rule 3 — Own your components</w:t>
      </w:r>
    </w:p>
    <w:p>
      <w:pPr>
        <w:spacing w:after="120"/>
      </w:pPr>
      <w:r>
        <w:rPr>
          <w:rFonts w:ascii="Calibri" w:cs="Calibri" w:eastAsia="Calibri" w:hAnsi="Calibri"/>
          <w:color w:val="1E0F05"/>
          <w:sz w:val="22"/>
          <w:szCs w:val="22"/>
        </w:rPr>
        <w:t xml:space="preserve">shadcn/ui components are copied into your /src/components/ui/ directory as actual source files — not npm dependencies. You can edit, extend, and restyle them freely. When shadcn releases updates, you selectively adopt what you need.</w:t>
      </w:r>
    </w:p>
    <w:p>
      <w:pPr>
        <w:spacing w:before="400"/>
      </w:pPr>
    </w:p>
    <w:p>
      <w:pPr>
        <w:pBdr>
          <w:top w:val="single" w:color="F2EAD8" w:sz="6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D2A078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EAD8" w:sz="6"/>
      </w:pBdr>
      <w:tabs>
        <w:tab w:val="right" w:pos="9026"/>
      </w:tabs>
      <w:spacing w:before="120"/>
    </w:pPr>
    <w:r>
      <w:rPr>
        <w:rFonts w:ascii="Calibri" w:cs="Calibri" w:eastAsia="Calibri" w:hAnsi="Calibri"/>
        <w:color w:val="7A5C42"/>
        <w:sz w:val="18"/>
        <w:szCs w:val="18"/>
      </w:rPr>
      <w:t xml:space="preserve">GL Bajaj Institute of Technology &amp; Management  |  T&amp;P · CDC Portal</w:t>
    </w:r>
    <w:r>
      <w:rPr>
        <w:sz w:val="18"/>
        <w:szCs w:val="18"/>
      </w:rPr>
      <w:t xml:space="preserve">	</w:t>
    </w:r>
    <w:r>
      <w:rPr>
        <w:rFonts w:ascii="Calibri" w:cs="Calibri" w:eastAsia="Calibri" w:hAnsi="Calibri"/>
        <w:color w:val="7A5C42"/>
        <w:sz w:val="18"/>
        <w:szCs w:val="18"/>
      </w:rPr>
      <w:t xml:space="preserve">Page </w:t>
    </w:r>
    <w:r>
      <w:rPr>
        <w:rFonts w:ascii="Calibri" w:cs="Calibri" w:eastAsia="Calibri" w:hAnsi="Calibri"/>
        <w:color w:val="51291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A5C42"/>
        <w:sz w:val="18"/>
        <w:szCs w:val="18"/>
      </w:rPr>
      <w:t xml:space="preserve"> of </w:t>
    </w:r>
    <w:r>
      <w:rPr>
        <w:rFonts w:ascii="Calibri" w:cs="Calibri" w:eastAsia="Calibri" w:hAnsi="Calibri"/>
        <w:color w:val="51291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EAD8" w:sz="6"/>
      </w:pBdr>
      <w:tabs>
        <w:tab w:val="right" w:pos="9026"/>
      </w:tabs>
      <w:spacing w:after="120"/>
    </w:pPr>
    <w:r>
      <w:rPr>
        <w:rFonts w:ascii="Calibri" w:cs="Calibri" w:eastAsia="Calibri" w:hAnsi="Calibri"/>
        <w:color w:val="7A5C42"/>
        <w:sz w:val="18"/>
        <w:szCs w:val="18"/>
      </w:rPr>
      <w:t xml:space="preserve">GL Bajaj T&amp;P Portal  —  Design System Document</w:t>
    </w:r>
    <w:r>
      <w:rPr>
        <w:sz w:val="18"/>
        <w:szCs w:val="18"/>
      </w:rPr>
      <w:t xml:space="preserve">	</w:t>
    </w:r>
    <w:r>
      <w:rPr>
        <w:rFonts w:ascii="Calibri" w:cs="Calibri" w:eastAsia="Calibri" w:hAnsi="Calibri"/>
        <w:color w:val="D2A078"/>
        <w:sz w:val="18"/>
        <w:szCs w:val="18"/>
      </w:rPr>
      <w:t xml:space="preserve">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Georgia" w:cs="Georgia" w:eastAsia="Georgia" w:hAnsi="Georgia"/>
      <w:b/>
      <w:bCs/>
      <w:color w:val="3A1C0B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Georgia" w:cs="Georgia" w:eastAsia="Georgia" w:hAnsi="Georgia"/>
      <w:b/>
      <w:bCs/>
      <w:color w:val="512912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Calibri" w:cs="Calibri" w:eastAsia="Calibri" w:hAnsi="Calibri"/>
      <w:b/>
      <w:bCs/>
      <w:color w:val="6B3A1F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00" w:after="80"/>
      <w:outlineLvl w:val="3"/>
    </w:pPr>
    <w:rPr>
      <w:rFonts w:ascii="Calibri" w:cs="Calibri" w:eastAsia="Calibri" w:hAnsi="Calibri"/>
      <w:b/>
      <w:bCs/>
      <w:color w:val="8C523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2026-03-09T19:11:41.154Z</dcterms:created>
  <dcterms:modified xsi:type="dcterms:W3CDTF">2026-03-09T19:11:41.154Z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