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F2043"/>
          <w:sz w:val="56"/>
        </w:rPr>
        <w:t>Commercial License Intelligence</w:t>
      </w:r>
    </w:p>
    <w:p>
      <w:pPr>
        <w:spacing w:before="0" w:after="360"/>
      </w:pPr>
      <w:r>
        <w:rPr>
          <w:rFonts w:ascii="Calibri" w:hAnsi="Calibri"/>
          <w:color w:val="0E7490"/>
          <w:sz w:val="28"/>
        </w:rPr>
        <w:t>Comprehensive Architectural Blueprint &amp; Technical Knowledge Base</w:t>
      </w:r>
    </w:p>
    <w:tbl>
      <w:tblPr>
        <w:tblW w:type="auto" w:w="0"/>
        <w:jc w:val="center"/>
        <w:tblLook w:firstColumn="1" w:firstRow="1" w:lastColumn="0" w:lastRow="0" w:noHBand="0" w:noVBand="1" w:val="04A0"/>
      </w:tblPr>
      <w:tblGrid>
        <w:gridCol w:w="4680"/>
        <w:gridCol w:w="4680"/>
      </w:tblGrid>
      <w:tr>
        <w:tc>
          <w:tcPr>
            <w:tcW w:type="dxa" w:w="3168"/>
            <w:shd w:fill="F8FAFC"/>
          </w:tcPr>
          <w:p>
            <w:r>
              <w:rPr>
                <w:rFonts w:ascii="Calibri" w:hAnsi="Calibri"/>
                <w:b/>
                <w:color w:val="0F2043"/>
                <w:sz w:val="19"/>
              </w:rPr>
              <w:t>Document Classification:</w:t>
            </w:r>
          </w:p>
        </w:tc>
        <w:tc>
          <w:tcPr>
            <w:tcW w:type="dxa" w:w="6192"/>
            <w:shd w:fill="FFFFFF"/>
          </w:tcPr>
          <w:p>
            <w:r>
              <w:rPr>
                <w:rFonts w:ascii="Calibri" w:hAnsi="Calibri"/>
                <w:color w:val="1E293B"/>
                <w:sz w:val="19"/>
              </w:rPr>
              <w:t>Enterprise Technical Architecture Document</w:t>
            </w:r>
          </w:p>
        </w:tc>
      </w:tr>
      <w:tr>
        <w:tc>
          <w:tcPr>
            <w:tcW w:type="dxa" w:w="3168"/>
            <w:shd w:fill="F8FAFC"/>
          </w:tcPr>
          <w:p>
            <w:r>
              <w:rPr>
                <w:rFonts w:ascii="Calibri" w:hAnsi="Calibri"/>
                <w:b/>
                <w:color w:val="0F2043"/>
                <w:sz w:val="19"/>
              </w:rPr>
              <w:t>Audience:</w:t>
            </w:r>
          </w:p>
        </w:tc>
        <w:tc>
          <w:tcPr>
            <w:tcW w:type="dxa" w:w="6192"/>
            <w:shd w:fill="FFFFFF"/>
          </w:tcPr>
          <w:p>
            <w:r>
              <w:rPr>
                <w:rFonts w:ascii="Calibri" w:hAnsi="Calibri"/>
                <w:color w:val="1E293B"/>
                <w:sz w:val="19"/>
              </w:rPr>
              <w:t>Senior Software Engineers, Tech Leads &amp; Enterprise Architects</w:t>
            </w:r>
          </w:p>
        </w:tc>
      </w:tr>
      <w:tr>
        <w:tc>
          <w:tcPr>
            <w:tcW w:type="dxa" w:w="3168"/>
            <w:shd w:fill="F8FAFC"/>
          </w:tcPr>
          <w:p>
            <w:r>
              <w:rPr>
                <w:rFonts w:ascii="Calibri" w:hAnsi="Calibri"/>
                <w:b/>
                <w:color w:val="0F2043"/>
                <w:sz w:val="19"/>
              </w:rPr>
              <w:t>System:</w:t>
            </w:r>
          </w:p>
        </w:tc>
        <w:tc>
          <w:tcPr>
            <w:tcW w:type="dxa" w:w="6192"/>
            <w:shd w:fill="FFFFFF"/>
          </w:tcPr>
          <w:p>
            <w:r>
              <w:rPr>
                <w:rFonts w:ascii="Calibri" w:hAnsi="Calibri"/>
                <w:color w:val="1E293B"/>
                <w:sz w:val="19"/>
              </w:rPr>
              <w:t>Commercial License Intelligence &amp; Endpoint Discovery Service</w:t>
            </w:r>
          </w:p>
        </w:tc>
      </w:tr>
      <w:tr>
        <w:tc>
          <w:tcPr>
            <w:tcW w:type="dxa" w:w="3168"/>
            <w:shd w:fill="F8FAFC"/>
          </w:tcPr>
          <w:p>
            <w:r>
              <w:rPr>
                <w:rFonts w:ascii="Calibri" w:hAnsi="Calibri"/>
                <w:b/>
                <w:color w:val="0F2043"/>
                <w:sz w:val="19"/>
              </w:rPr>
              <w:t>Date / Version:</w:t>
            </w:r>
          </w:p>
        </w:tc>
        <w:tc>
          <w:tcPr>
            <w:tcW w:type="dxa" w:w="6192"/>
            <w:shd w:fill="FFFFFF"/>
          </w:tcPr>
          <w:p>
            <w:r>
              <w:rPr>
                <w:rFonts w:ascii="Calibri" w:hAnsi="Calibri"/>
                <w:color w:val="1E293B"/>
                <w:sz w:val="19"/>
              </w:rPr>
              <w:t>September 2026 / Architecture Version 2.4-Production</w:t>
            </w:r>
          </w:p>
        </w:tc>
      </w:tr>
    </w:tbl>
    <w:p>
      <w:pPr>
        <w:spacing w:after="240"/>
      </w:pPr>
    </w:p>
    <w:p>
      <w:pPr>
        <w:keepNext/>
        <w:spacing w:before="360" w:after="120"/>
      </w:pPr>
      <w:r>
        <w:rPr>
          <w:rFonts w:ascii="Calibri" w:hAnsi="Calibri"/>
          <w:b/>
          <w:color w:val="0F2043"/>
          <w:sz w:val="36"/>
        </w:rPr>
        <w:t>1. Executive Summary</w:t>
      </w:r>
    </w:p>
    <w:p>
      <w:pPr>
        <w:spacing w:before="0" w:after="80" w:line="276" w:lineRule="auto"/>
      </w:pPr>
      <w:r>
        <w:rPr>
          <w:rFonts w:ascii="Calibri" w:hAnsi="Calibri"/>
          <w:i w:val="0"/>
          <w:color w:val="1E293B"/>
          <w:sz w:val="21"/>
        </w:rPr>
        <w:t>Commercial License Intelligence is a high-throughput, zero-hallucination software discovery and legal intelligence engine. Modern enterprise environments run hundreds of desktop applications, background services, developer tools, runtime libraries, and hardware utilities. Historically, determining the exact commercial licensing posture of installed software required slow manual legal review or expensive, black-box legacy tools (such as Snow Software or Flexera) that offer no verifiable evidence and frequently guess editions.</w:t>
      </w:r>
    </w:p>
    <w:p>
      <w:pPr>
        <w:spacing w:before="0" w:after="80" w:line="276" w:lineRule="auto"/>
      </w:pPr>
      <w:r>
        <w:rPr>
          <w:rFonts w:ascii="Calibri" w:hAnsi="Calibri"/>
          <w:i w:val="0"/>
          <w:color w:val="1E293B"/>
          <w:sz w:val="21"/>
        </w:rPr>
        <w:t>This platform provides end-to-end automated discovery, deterministic name normalization, version-inflection evaluation, authoritative legal evidence harvesting, and SPDX taxonomy standardization. It operates on a strict zero-hallucination principle: software is never assumed to be commercial or open-source without cryptographic installer provenance, official package manifests, or direct legal citations from the software vendor's authoritative portal.</w:t>
      </w:r>
    </w:p>
    <w:p>
      <w:pPr>
        <w:keepNext/>
        <w:spacing w:before="360" w:after="120"/>
      </w:pPr>
      <w:r>
        <w:rPr>
          <w:rFonts w:ascii="Calibri" w:hAnsi="Calibri"/>
          <w:b/>
          <w:color w:val="0F2043"/>
          <w:sz w:val="36"/>
        </w:rPr>
        <w:t>2. High-Level System Architecture</w:t>
      </w:r>
    </w:p>
    <w:p>
      <w:pPr>
        <w:spacing w:before="0" w:after="80" w:line="276" w:lineRule="auto"/>
      </w:pPr>
      <w:r>
        <w:rPr>
          <w:rFonts w:ascii="Calibri" w:hAnsi="Calibri"/>
          <w:i w:val="0"/>
          <w:color w:val="1E293B"/>
          <w:sz w:val="21"/>
        </w:rPr>
        <w:t>The architecture is organized into four decoupled architectural layers, ensuring maximum scalability, testability, and deterministic performance:</w:t>
      </w:r>
    </w:p>
    <w:tbl>
      <w:tblPr>
        <w:tblW w:type="auto" w:w="0"/>
        <w:jc w:val="center"/>
        <w:tblLook w:firstColumn="1" w:firstRow="1" w:lastColumn="0" w:lastRow="0" w:noHBand="0" w:noVBand="1" w:val="04A0"/>
      </w:tblPr>
      <w:tblGrid>
        <w:gridCol w:w="3120"/>
        <w:gridCol w:w="3120"/>
        <w:gridCol w:w="3120"/>
      </w:tblGrid>
      <w:tr>
        <w:tc>
          <w:tcPr>
            <w:tcW w:type="dxa" w:w="3120"/>
            <w:shd w:fill="0F2043"/>
          </w:tcPr>
          <w:p>
            <w:r>
              <w:rPr>
                <w:rFonts w:ascii="Calibri" w:hAnsi="Calibri"/>
                <w:b/>
                <w:color w:val="FFFFFF"/>
                <w:sz w:val="20"/>
              </w:rPr>
              <w:t>Layer</w:t>
            </w:r>
          </w:p>
        </w:tc>
        <w:tc>
          <w:tcPr>
            <w:tcW w:type="dxa" w:w="3120"/>
            <w:shd w:fill="0F2043"/>
          </w:tcPr>
          <w:p>
            <w:r>
              <w:rPr>
                <w:rFonts w:ascii="Calibri" w:hAnsi="Calibri"/>
                <w:b/>
                <w:color w:val="FFFFFF"/>
                <w:sz w:val="20"/>
              </w:rPr>
              <w:t>Core Responsibilities</w:t>
            </w:r>
          </w:p>
        </w:tc>
        <w:tc>
          <w:tcPr>
            <w:tcW w:type="dxa" w:w="3120"/>
            <w:shd w:fill="0F2043"/>
          </w:tcPr>
          <w:p>
            <w:r>
              <w:rPr>
                <w:rFonts w:ascii="Calibri" w:hAnsi="Calibri"/>
                <w:b/>
                <w:color w:val="FFFFFF"/>
                <w:sz w:val="20"/>
              </w:rPr>
              <w:t>Underlying Technologies</w:t>
            </w:r>
          </w:p>
        </w:tc>
      </w:tr>
      <w:tr>
        <w:tc>
          <w:tcPr>
            <w:tcW w:type="dxa" w:w="3120"/>
            <w:shd w:fill="F8FAFC"/>
            <w:tcMar>
              <w:top w:w="80" w:type="dxa"/>
              <w:bottom w:w="80" w:type="dxa"/>
              <w:left w:w="120" w:type="dxa"/>
              <w:right w:w="120" w:type="dxa"/>
            </w:tcMar>
          </w:tcPr>
          <w:p>
            <w:r>
              <w:rPr>
                <w:rFonts w:ascii="Calibri" w:hAnsi="Calibri"/>
                <w:b/>
                <w:color w:val="1E293B"/>
                <w:sz w:val="19"/>
              </w:rPr>
              <w:t>Layer 1: Ingestion &amp; Telemetry</w:t>
            </w:r>
          </w:p>
        </w:tc>
        <w:tc>
          <w:tcPr>
            <w:tcW w:type="dxa" w:w="3120"/>
            <w:shd w:fill="F8FAFC"/>
            <w:tcMar>
              <w:top w:w="80" w:type="dxa"/>
              <w:bottom w:w="80" w:type="dxa"/>
              <w:left w:w="120" w:type="dxa"/>
              <w:right w:w="120" w:type="dxa"/>
            </w:tcMar>
          </w:tcPr>
          <w:p>
            <w:r>
              <w:rPr>
                <w:rFonts w:ascii="Calibri" w:hAnsi="Calibri"/>
                <w:color w:val="1E293B"/>
                <w:sz w:val="19"/>
              </w:rPr>
              <w:t>Extracts local endpoint inventory (Registry 32/64-bit, AppX/MSIX, shortcuts) or accepts bulk enterprise CSV/Excel inventories.</w:t>
            </w:r>
          </w:p>
        </w:tc>
        <w:tc>
          <w:tcPr>
            <w:tcW w:type="dxa" w:w="3120"/>
            <w:shd w:fill="F8FAFC"/>
            <w:tcMar>
              <w:top w:w="80" w:type="dxa"/>
              <w:bottom w:w="80" w:type="dxa"/>
              <w:left w:w="120" w:type="dxa"/>
              <w:right w:w="120" w:type="dxa"/>
            </w:tcMar>
          </w:tcPr>
          <w:p>
            <w:r>
              <w:rPr>
                <w:rFonts w:ascii="Calibri" w:hAnsi="Calibri"/>
                <w:color w:val="1E293B"/>
                <w:sz w:val="19"/>
              </w:rPr>
              <w:t>Python `winreg`, Windows Package Manager, Pandas, FastAPI</w:t>
            </w:r>
          </w:p>
        </w:tc>
      </w:tr>
      <w:tr>
        <w:tc>
          <w:tcPr>
            <w:tcW w:type="dxa" w:w="3120"/>
            <w:shd w:fill="FFFFFF"/>
            <w:tcMar>
              <w:top w:w="80" w:type="dxa"/>
              <w:bottom w:w="80" w:type="dxa"/>
              <w:left w:w="120" w:type="dxa"/>
              <w:right w:w="120" w:type="dxa"/>
            </w:tcMar>
          </w:tcPr>
          <w:p>
            <w:r>
              <w:rPr>
                <w:rFonts w:ascii="Calibri" w:hAnsi="Calibri"/>
                <w:b/>
                <w:color w:val="1E293B"/>
                <w:sz w:val="19"/>
              </w:rPr>
              <w:t>Layer 2: Normalization &amp; Pre-Filtering</w:t>
            </w:r>
          </w:p>
        </w:tc>
        <w:tc>
          <w:tcPr>
            <w:tcW w:type="dxa" w:w="3120"/>
            <w:shd w:fill="FFFFFF"/>
            <w:tcMar>
              <w:top w:w="80" w:type="dxa"/>
              <w:bottom w:w="80" w:type="dxa"/>
              <w:left w:w="120" w:type="dxa"/>
              <w:right w:w="120" w:type="dxa"/>
            </w:tcMar>
          </w:tcPr>
          <w:p>
            <w:r>
              <w:rPr>
                <w:rFonts w:ascii="Calibri" w:hAnsi="Calibri"/>
                <w:color w:val="1E293B"/>
                <w:sz w:val="19"/>
              </w:rPr>
              <w:t>Cleans raw installation names, strips architecture/GUID noise, classifies into 11 component categories, and deduplicates installs into unique product groups.</w:t>
            </w:r>
          </w:p>
        </w:tc>
        <w:tc>
          <w:tcPr>
            <w:tcW w:type="dxa" w:w="3120"/>
            <w:shd w:fill="FFFFFF"/>
            <w:tcMar>
              <w:top w:w="80" w:type="dxa"/>
              <w:bottom w:w="80" w:type="dxa"/>
              <w:left w:w="120" w:type="dxa"/>
              <w:right w:w="120" w:type="dxa"/>
            </w:tcMar>
          </w:tcPr>
          <w:p>
            <w:r>
              <w:rPr>
                <w:rFonts w:ascii="Calibri" w:hAnsi="Calibri"/>
                <w:color w:val="1E293B"/>
                <w:sz w:val="19"/>
              </w:rPr>
              <w:t>Regex Tokenizers, `DetectionNormalizer`, Levenshtein matching</w:t>
            </w:r>
          </w:p>
        </w:tc>
      </w:tr>
      <w:tr>
        <w:tc>
          <w:tcPr>
            <w:tcW w:type="dxa" w:w="3120"/>
            <w:shd w:fill="F8FAFC"/>
            <w:tcMar>
              <w:top w:w="80" w:type="dxa"/>
              <w:bottom w:w="80" w:type="dxa"/>
              <w:left w:w="120" w:type="dxa"/>
              <w:right w:w="120" w:type="dxa"/>
            </w:tcMar>
          </w:tcPr>
          <w:p>
            <w:r>
              <w:rPr>
                <w:rFonts w:ascii="Calibri" w:hAnsi="Calibri"/>
                <w:b/>
                <w:color w:val="1E293B"/>
                <w:sz w:val="19"/>
              </w:rPr>
              <w:t>Layer 3: Core License Intelligence</w:t>
            </w:r>
          </w:p>
        </w:tc>
        <w:tc>
          <w:tcPr>
            <w:tcW w:type="dxa" w:w="3120"/>
            <w:shd w:fill="F8FAFC"/>
            <w:tcMar>
              <w:top w:w="80" w:type="dxa"/>
              <w:bottom w:w="80" w:type="dxa"/>
              <w:left w:w="120" w:type="dxa"/>
              <w:right w:w="120" w:type="dxa"/>
            </w:tcMar>
          </w:tcPr>
          <w:p>
            <w:r>
              <w:rPr>
                <w:rFonts w:ascii="Calibri" w:hAnsi="Calibri"/>
                <w:color w:val="1E293B"/>
                <w:sz w:val="19"/>
              </w:rPr>
              <w:t>Multi-tiered resolution cascade: Local Cache -&gt; WinGet Provenance -&gt; Live Legal Discovery -&gt; Consensus Synthesis (Edition Disambiguation, Version Inflection, SPDX).</w:t>
            </w:r>
          </w:p>
        </w:tc>
        <w:tc>
          <w:tcPr>
            <w:tcW w:type="dxa" w:w="3120"/>
            <w:shd w:fill="F8FAFC"/>
            <w:tcMar>
              <w:top w:w="80" w:type="dxa"/>
              <w:bottom w:w="80" w:type="dxa"/>
              <w:left w:w="120" w:type="dxa"/>
              <w:right w:w="120" w:type="dxa"/>
            </w:tcMar>
          </w:tcPr>
          <w:p>
            <w:r>
              <w:rPr>
                <w:rFonts w:ascii="Calibri" w:hAnsi="Calibri"/>
                <w:color w:val="1E293B"/>
                <w:sz w:val="19"/>
              </w:rPr>
              <w:t>WinGet SQLite index, SearXNG/DuckDuckGo, Trafilatura, PyMuPDF, SPDX engine</w:t>
            </w:r>
          </w:p>
        </w:tc>
      </w:tr>
      <w:tr>
        <w:tc>
          <w:tcPr>
            <w:tcW w:type="dxa" w:w="3120"/>
            <w:shd w:fill="FFFFFF"/>
            <w:tcMar>
              <w:top w:w="80" w:type="dxa"/>
              <w:bottom w:w="80" w:type="dxa"/>
              <w:left w:w="120" w:type="dxa"/>
              <w:right w:w="120" w:type="dxa"/>
            </w:tcMar>
          </w:tcPr>
          <w:p>
            <w:r>
              <w:rPr>
                <w:rFonts w:ascii="Calibri" w:hAnsi="Calibri"/>
                <w:b/>
                <w:color w:val="1E293B"/>
                <w:sz w:val="19"/>
              </w:rPr>
              <w:t>Layer 4: Persistence, API &amp; Export</w:t>
            </w:r>
          </w:p>
        </w:tc>
        <w:tc>
          <w:tcPr>
            <w:tcW w:type="dxa" w:w="3120"/>
            <w:shd w:fill="FFFFFF"/>
            <w:tcMar>
              <w:top w:w="80" w:type="dxa"/>
              <w:bottom w:w="80" w:type="dxa"/>
              <w:left w:w="120" w:type="dxa"/>
              <w:right w:w="120" w:type="dxa"/>
            </w:tcMar>
          </w:tcPr>
          <w:p>
            <w:r>
              <w:rPr>
                <w:rFonts w:ascii="Calibri" w:hAnsi="Calibri"/>
                <w:color w:val="1E293B"/>
                <w:sz w:val="19"/>
              </w:rPr>
              <w:t>Relational persistence, asynchronous job polling, live auto-recovery, and automated generation of 17-column audit-ready CSV and Excel workbooks.</w:t>
            </w:r>
          </w:p>
        </w:tc>
        <w:tc>
          <w:tcPr>
            <w:tcW w:type="dxa" w:w="3120"/>
            <w:shd w:fill="FFFFFF"/>
            <w:tcMar>
              <w:top w:w="80" w:type="dxa"/>
              <w:bottom w:w="80" w:type="dxa"/>
              <w:left w:w="120" w:type="dxa"/>
              <w:right w:w="120" w:type="dxa"/>
            </w:tcMar>
          </w:tcPr>
          <w:p>
            <w:r>
              <w:rPr>
                <w:rFonts w:ascii="Calibri" w:hAnsi="Calibri"/>
                <w:color w:val="1E293B"/>
                <w:sz w:val="19"/>
              </w:rPr>
              <w:t>SQLAlchemy, SQLite / PostgreSQL, OpenPyXL, REST API</w:t>
            </w:r>
          </w:p>
        </w:tc>
      </w:tr>
    </w:tbl>
    <w:p>
      <w:pPr>
        <w:spacing w:after="160"/>
      </w:pPr>
    </w:p>
    <w:p>
      <w:pPr>
        <w:keepNext/>
        <w:spacing w:before="360" w:after="120"/>
      </w:pPr>
      <w:r>
        <w:rPr>
          <w:rFonts w:ascii="Calibri" w:hAnsi="Calibri"/>
          <w:b/>
          <w:color w:val="0F2043"/>
          <w:sz w:val="36"/>
        </w:rPr>
        <w:t>3. Technologies, Frameworks &amp; Open-Source Libraries</w:t>
      </w:r>
    </w:p>
    <w:p>
      <w:pPr>
        <w:spacing w:before="0" w:after="80" w:line="276" w:lineRule="auto"/>
      </w:pPr>
      <w:r>
        <w:rPr>
          <w:rFonts w:ascii="Calibri" w:hAnsi="Calibri"/>
          <w:i w:val="0"/>
          <w:color w:val="1E293B"/>
          <w:sz w:val="21"/>
        </w:rPr>
        <w:t>The project leverages modern, production-grade Python libraries and database engines, strictly avoiding external proprietary dependencies:</w:t>
      </w:r>
    </w:p>
    <w:p>
      <w:pPr>
        <w:pStyle w:val="ListBullet"/>
        <w:spacing w:before="20" w:after="60" w:line="276" w:lineRule="auto"/>
      </w:pPr>
      <w:r>
        <w:rPr>
          <w:rFonts w:ascii="Calibri" w:hAnsi="Calibri"/>
          <w:b/>
          <w:color w:val="0F2043"/>
          <w:sz w:val="20"/>
        </w:rPr>
        <w:t xml:space="preserve">FastAPI (v0.110+): </w:t>
      </w:r>
      <w:r>
        <w:rPr>
          <w:rFonts w:ascii="Calibri" w:hAnsi="Calibri"/>
          <w:color w:val="1E293B"/>
          <w:sz w:val="20"/>
        </w:rPr>
        <w:t>High-performance asynchronous Python web framework providing OpenAPI/Swagger documentation, dependency injection, and REST endpoints for discovery and results.</w:t>
      </w:r>
    </w:p>
    <w:p>
      <w:pPr>
        <w:pStyle w:val="ListBullet"/>
        <w:spacing w:before="20" w:after="60" w:line="276" w:lineRule="auto"/>
      </w:pPr>
      <w:r>
        <w:rPr>
          <w:rFonts w:ascii="Calibri" w:hAnsi="Calibri"/>
          <w:b/>
          <w:color w:val="0F2043"/>
          <w:sz w:val="20"/>
        </w:rPr>
        <w:t xml:space="preserve">SQLAlchemy (v2.0+): </w:t>
      </w:r>
      <w:r>
        <w:rPr>
          <w:rFonts w:ascii="Calibri" w:hAnsi="Calibri"/>
          <w:color w:val="1E293B"/>
          <w:sz w:val="20"/>
        </w:rPr>
        <w:t>Enterprise ORM and SQL toolkit managing transactional schema migrations, raw query execution, connection pooling, and multi-database support (SQLite / PostgreSQL).</w:t>
      </w:r>
    </w:p>
    <w:p>
      <w:pPr>
        <w:pStyle w:val="ListBullet"/>
        <w:spacing w:before="20" w:after="60" w:line="276" w:lineRule="auto"/>
      </w:pPr>
      <w:r>
        <w:rPr>
          <w:rFonts w:ascii="Calibri" w:hAnsi="Calibri"/>
          <w:b/>
          <w:color w:val="0F2043"/>
          <w:sz w:val="20"/>
        </w:rPr>
        <w:t xml:space="preserve">SQLite 3 / PostgreSQL: </w:t>
      </w:r>
      <w:r>
        <w:rPr>
          <w:rFonts w:ascii="Calibri" w:hAnsi="Calibri"/>
          <w:color w:val="1E293B"/>
          <w:sz w:val="20"/>
        </w:rPr>
        <w:t>Primary relational database engines. Local embedded SQLite stores catalog definitions and scan runs with sub-millisecond query execution; PostgreSQL is supported in distributed mode.</w:t>
      </w:r>
    </w:p>
    <w:p>
      <w:pPr>
        <w:pStyle w:val="ListBullet"/>
        <w:spacing w:before="20" w:after="60" w:line="276" w:lineRule="auto"/>
      </w:pPr>
      <w:r>
        <w:rPr>
          <w:rFonts w:ascii="Calibri" w:hAnsi="Calibri"/>
          <w:b/>
          <w:color w:val="0F2043"/>
          <w:sz w:val="20"/>
        </w:rPr>
        <w:t xml:space="preserve">WinGet Manifest Engine: </w:t>
      </w:r>
      <w:r>
        <w:rPr>
          <w:rFonts w:ascii="Calibri" w:hAnsi="Calibri"/>
          <w:color w:val="1E293B"/>
          <w:sz w:val="20"/>
        </w:rPr>
        <w:t>Integrates Microsoft's official Windows Package Manager repository metadata, providing authentic package IDs, publisher identities, silent URLs, and SHA256 hashes.</w:t>
      </w:r>
    </w:p>
    <w:p>
      <w:pPr>
        <w:pStyle w:val="ListBullet"/>
        <w:spacing w:before="20" w:after="60" w:line="276" w:lineRule="auto"/>
      </w:pPr>
      <w:r>
        <w:rPr>
          <w:rFonts w:ascii="Calibri" w:hAnsi="Calibri"/>
          <w:b/>
          <w:color w:val="0F2043"/>
          <w:sz w:val="20"/>
        </w:rPr>
        <w:t xml:space="preserve">Trafilatura &amp; BeautifulSoup4: </w:t>
      </w:r>
      <w:r>
        <w:rPr>
          <w:rFonts w:ascii="Calibri" w:hAnsi="Calibri"/>
          <w:color w:val="1E293B"/>
          <w:sz w:val="20"/>
        </w:rPr>
        <w:t>Precision web text extraction library optimized for stripping boilerplate, ads, and navigation headers, extracting pristine legal and pricing terms from vendor portals.</w:t>
      </w:r>
    </w:p>
    <w:p>
      <w:pPr>
        <w:pStyle w:val="ListBullet"/>
        <w:spacing w:before="20" w:after="60" w:line="276" w:lineRule="auto"/>
      </w:pPr>
      <w:r>
        <w:rPr>
          <w:rFonts w:ascii="Calibri" w:hAnsi="Calibri"/>
          <w:b/>
          <w:color w:val="0F2043"/>
          <w:sz w:val="20"/>
        </w:rPr>
        <w:t xml:space="preserve">PyMuPDF (fitz): </w:t>
      </w:r>
      <w:r>
        <w:rPr>
          <w:rFonts w:ascii="Calibri" w:hAnsi="Calibri"/>
          <w:color w:val="1E293B"/>
          <w:sz w:val="20"/>
        </w:rPr>
        <w:t>High-speed C-backed PDF document harvester. Scrapes and parses official vendor EULAs, product terms documents, and licensing whitepapers directly into structured text.</w:t>
      </w:r>
    </w:p>
    <w:p>
      <w:pPr>
        <w:pStyle w:val="ListBullet"/>
        <w:spacing w:before="20" w:after="60" w:line="276" w:lineRule="auto"/>
      </w:pPr>
      <w:r>
        <w:rPr>
          <w:rFonts w:ascii="Calibri" w:hAnsi="Calibri"/>
          <w:b/>
          <w:color w:val="0F2043"/>
          <w:sz w:val="20"/>
        </w:rPr>
        <w:t xml:space="preserve">Search Engine Chain: </w:t>
      </w:r>
      <w:r>
        <w:rPr>
          <w:rFonts w:ascii="Calibri" w:hAnsi="Calibri"/>
          <w:color w:val="1E293B"/>
          <w:sz w:val="20"/>
        </w:rPr>
        <w:t>Resilient search provider fallback chain (SearXNG -&gt; YaCy -&gt; DuckDuckGo HTML engine) with automated socket reachability checks and instant circuit breakers.</w:t>
      </w:r>
    </w:p>
    <w:p>
      <w:pPr>
        <w:pStyle w:val="ListBullet"/>
        <w:spacing w:before="20" w:after="60" w:line="276" w:lineRule="auto"/>
      </w:pPr>
      <w:r>
        <w:rPr>
          <w:rFonts w:ascii="Calibri" w:hAnsi="Calibri"/>
          <w:b/>
          <w:color w:val="0F2043"/>
          <w:sz w:val="20"/>
        </w:rPr>
        <w:t xml:space="preserve">Pandas &amp; OpenPyXL: </w:t>
      </w:r>
      <w:r>
        <w:rPr>
          <w:rFonts w:ascii="Calibri" w:hAnsi="Calibri"/>
          <w:color w:val="1E293B"/>
          <w:sz w:val="20"/>
        </w:rPr>
        <w:t>Vectorized tabular data transformation and calculation engine, exporting high-fidelity Excel spreadsheets (`.xlsx`) and CSV inventories.</w:t>
      </w:r>
    </w:p>
    <w:p>
      <w:pPr>
        <w:pStyle w:val="ListBullet"/>
        <w:spacing w:before="20" w:after="60" w:line="276" w:lineRule="auto"/>
      </w:pPr>
      <w:r>
        <w:rPr>
          <w:rFonts w:ascii="Calibri" w:hAnsi="Calibri"/>
          <w:b/>
          <w:color w:val="0F2043"/>
          <w:sz w:val="20"/>
        </w:rPr>
        <w:t xml:space="preserve">Streamlit: </w:t>
      </w:r>
      <w:r>
        <w:rPr>
          <w:rFonts w:ascii="Calibri" w:hAnsi="Calibri"/>
          <w:color w:val="1E293B"/>
          <w:sz w:val="20"/>
        </w:rPr>
        <w:t>Reactive Python dashboard UI delivering real-time pipeline monitoring, responsive statistic metric cards, interactive data grids, and Tier 4 human-in-the-loop review interfaces.</w:t>
      </w:r>
    </w:p>
    <w:p>
      <w:pPr>
        <w:keepNext/>
        <w:spacing w:before="360" w:after="120"/>
      </w:pPr>
      <w:r>
        <w:rPr>
          <w:rFonts w:ascii="Calibri" w:hAnsi="Calibri"/>
          <w:b/>
          <w:color w:val="0F2043"/>
          <w:sz w:val="36"/>
        </w:rPr>
        <w:t>4. The 9-Stage Discovery &amp; Intelligence Pipeline</w:t>
      </w:r>
    </w:p>
    <w:p>
      <w:pPr>
        <w:spacing w:before="0" w:after="80" w:line="276" w:lineRule="auto"/>
      </w:pPr>
      <w:r>
        <w:rPr>
          <w:rFonts w:ascii="Calibri" w:hAnsi="Calibri"/>
          <w:i w:val="0"/>
          <w:color w:val="1E293B"/>
          <w:sz w:val="21"/>
        </w:rPr>
        <w:t>When a local endpoint scan or bulk CSV upload is triggered, execution progresses through 9 strictly defined, observable stages:</w:t>
      </w:r>
    </w:p>
    <w:p>
      <w:pPr>
        <w:pStyle w:val="ListBullet"/>
        <w:spacing w:before="20" w:after="60" w:line="276" w:lineRule="auto"/>
      </w:pPr>
      <w:r>
        <w:rPr>
          <w:rFonts w:ascii="Calibri" w:hAnsi="Calibri"/>
          <w:b/>
          <w:color w:val="0F2043"/>
          <w:sz w:val="20"/>
        </w:rPr>
        <w:t xml:space="preserve">Stage 1: Detect Operating System: </w:t>
      </w:r>
      <w:r>
        <w:rPr>
          <w:rFonts w:ascii="Calibri" w:hAnsi="Calibri"/>
          <w:color w:val="1E293B"/>
          <w:sz w:val="20"/>
        </w:rPr>
        <w:t>Gathers host platform metadata (Windows 11 vs Windows 10 build numbers, CPU architecture x86_64/ARM64, device hostname, and environment flags).</w:t>
      </w:r>
    </w:p>
    <w:p>
      <w:pPr>
        <w:pStyle w:val="ListBullet"/>
        <w:spacing w:before="20" w:after="60" w:line="276" w:lineRule="auto"/>
      </w:pPr>
      <w:r>
        <w:rPr>
          <w:rFonts w:ascii="Calibri" w:hAnsi="Calibri"/>
          <w:b/>
          <w:color w:val="0F2043"/>
          <w:sz w:val="20"/>
        </w:rPr>
        <w:t xml:space="preserve">Stage 2: Scan Windows Registry: </w:t>
      </w:r>
      <w:r>
        <w:rPr>
          <w:rFonts w:ascii="Calibri" w:hAnsi="Calibri"/>
          <w:color w:val="1E293B"/>
          <w:sz w:val="20"/>
        </w:rPr>
        <w:t>Inspects both 32-bit (`Wow6432Node`) and 64-bit registry branches across `HKLM` and `HKCU` paths (`Uninstall` subkeys), capturing DisplayName, Publisher, DisplayVersion, and InstallLocation.</w:t>
      </w:r>
    </w:p>
    <w:p>
      <w:pPr>
        <w:pStyle w:val="ListBullet"/>
        <w:spacing w:before="20" w:after="60" w:line="276" w:lineRule="auto"/>
      </w:pPr>
      <w:r>
        <w:rPr>
          <w:rFonts w:ascii="Calibri" w:hAnsi="Calibri"/>
          <w:b/>
          <w:color w:val="0F2043"/>
          <w:sz w:val="20"/>
        </w:rPr>
        <w:t xml:space="preserve">Stage 3: Detect Installed Applications: </w:t>
      </w:r>
      <w:r>
        <w:rPr>
          <w:rFonts w:ascii="Calibri" w:hAnsi="Calibri"/>
          <w:color w:val="1E293B"/>
          <w:sz w:val="20"/>
        </w:rPr>
        <w:t>Complements registry scans with modern AppX / MSIX package manifests and system-wide application shortcuts.</w:t>
      </w:r>
    </w:p>
    <w:p>
      <w:pPr>
        <w:pStyle w:val="ListBullet"/>
        <w:spacing w:before="20" w:after="60" w:line="276" w:lineRule="auto"/>
      </w:pPr>
      <w:r>
        <w:rPr>
          <w:rFonts w:ascii="Calibri" w:hAnsi="Calibri"/>
          <w:b/>
          <w:color w:val="0F2043"/>
          <w:sz w:val="20"/>
        </w:rPr>
        <w:t xml:space="preserve">Stage 4: Extract Application Versions: </w:t>
      </w:r>
      <w:r>
        <w:rPr>
          <w:rFonts w:ascii="Calibri" w:hAnsi="Calibri"/>
          <w:color w:val="1E293B"/>
          <w:sz w:val="20"/>
        </w:rPr>
        <w:t>Parses complex version strings into structured semantic tokens (Major, Minor, Patch, Build), handling non-standard build formats (e.g., `2024.0618.1442`, `14.51.36247.0`).</w:t>
      </w:r>
    </w:p>
    <w:p>
      <w:pPr>
        <w:pStyle w:val="ListBullet"/>
        <w:spacing w:before="20" w:after="60" w:line="276" w:lineRule="auto"/>
      </w:pPr>
      <w:r>
        <w:rPr>
          <w:rFonts w:ascii="Calibri" w:hAnsi="Calibri"/>
          <w:b/>
          <w:color w:val="0F2043"/>
          <w:sz w:val="20"/>
        </w:rPr>
        <w:t xml:space="preserve">Stage 5: Identify Software Publishers: </w:t>
      </w:r>
      <w:r>
        <w:rPr>
          <w:rFonts w:ascii="Calibri" w:hAnsi="Calibri"/>
          <w:color w:val="1E293B"/>
          <w:sz w:val="20"/>
        </w:rPr>
        <w:t>Maps raw, missing, or obfuscated publisher strings to canonical legal entities (e.g., resolving GUIDs or sub-brands to `Microsoft Corporation`, `Advanced Micro Devices, Inc.`, `Oracle America, Inc.`).</w:t>
      </w:r>
    </w:p>
    <w:p>
      <w:pPr>
        <w:pStyle w:val="ListBullet"/>
        <w:spacing w:before="20" w:after="60" w:line="276" w:lineRule="auto"/>
      </w:pPr>
      <w:r>
        <w:rPr>
          <w:rFonts w:ascii="Calibri" w:hAnsi="Calibri"/>
          <w:b/>
          <w:color w:val="0F2043"/>
          <w:sz w:val="20"/>
        </w:rPr>
        <w:t xml:space="preserve">Stage 6: Normalize Application Names: </w:t>
      </w:r>
      <w:r>
        <w:rPr>
          <w:rFonts w:ascii="Calibri" w:hAnsi="Calibri"/>
          <w:color w:val="1E293B"/>
          <w:sz w:val="20"/>
        </w:rPr>
        <w:t>Executes `DetectionNormalizer` to strip machine architecture noise (`(64-bit)`, `x64`, `v1.0`), build numbers, and language tags, generating clean canonical product names.</w:t>
      </w:r>
    </w:p>
    <w:p>
      <w:pPr>
        <w:pStyle w:val="ListBullet"/>
        <w:spacing w:before="20" w:after="60" w:line="276" w:lineRule="auto"/>
      </w:pPr>
      <w:r>
        <w:rPr>
          <w:rFonts w:ascii="Calibri" w:hAnsi="Calibri"/>
          <w:b/>
          <w:color w:val="0F2043"/>
          <w:sz w:val="20"/>
        </w:rPr>
        <w:t xml:space="preserve">Stage 7: Remove Duplicates &amp; Product Grouping: </w:t>
      </w:r>
      <w:r>
        <w:rPr>
          <w:rFonts w:ascii="Calibri" w:hAnsi="Calibri"/>
          <w:color w:val="1E293B"/>
          <w:sz w:val="20"/>
        </w:rPr>
        <w:t>Collapses hundreds of raw endpoint installations into unique `(normalized_name, normalized_vendor, version_bucket)` product groups to maximize throughput and eliminate redundant processing.</w:t>
      </w:r>
    </w:p>
    <w:p>
      <w:pPr>
        <w:pStyle w:val="ListBullet"/>
        <w:spacing w:before="20" w:after="60" w:line="276" w:lineRule="auto"/>
      </w:pPr>
      <w:r>
        <w:rPr>
          <w:rFonts w:ascii="Calibri" w:hAnsi="Calibri"/>
          <w:b/>
          <w:color w:val="0F2043"/>
          <w:sz w:val="20"/>
        </w:rPr>
        <w:t xml:space="preserve">Stage 8: Run License Intelligence (Core Engine): </w:t>
      </w:r>
      <w:r>
        <w:rPr>
          <w:rFonts w:ascii="Calibri" w:hAnsi="Calibri"/>
          <w:color w:val="1E293B"/>
          <w:sz w:val="20"/>
        </w:rPr>
        <w:t>The multi-source consensus engine resolves each unique product group through the 4-tier intelligence cascade, assigning legal classification, metric, model, evidence quote, and reliability score.</w:t>
      </w:r>
    </w:p>
    <w:p>
      <w:pPr>
        <w:pStyle w:val="ListBullet"/>
        <w:spacing w:before="20" w:after="60" w:line="276" w:lineRule="auto"/>
      </w:pPr>
      <w:r>
        <w:rPr>
          <w:rFonts w:ascii="Calibri" w:hAnsi="Calibri"/>
          <w:b/>
          <w:color w:val="0F2043"/>
          <w:sz w:val="20"/>
        </w:rPr>
        <w:t xml:space="preserve">Stage 9: Generate Final Report &amp; Audit Exports: </w:t>
      </w:r>
      <w:r>
        <w:rPr>
          <w:rFonts w:ascii="Calibri" w:hAnsi="Calibri"/>
          <w:color w:val="1E293B"/>
          <w:sz w:val="20"/>
        </w:rPr>
        <w:t>Transforms resolved inventory records into the standardized 17-column enterprise schema, automatically generating `.csv` and `.xlsx` workbooks with persistent download links.</w:t>
      </w:r>
    </w:p>
    <w:p>
      <w:pPr>
        <w:keepNext/>
        <w:spacing w:before="360" w:after="120"/>
      </w:pPr>
      <w:r>
        <w:rPr>
          <w:rFonts w:ascii="Calibri" w:hAnsi="Calibri"/>
          <w:b/>
          <w:color w:val="0F2043"/>
          <w:sz w:val="36"/>
        </w:rPr>
        <w:t>5. Core Licensing Intelligence Engines</w:t>
      </w:r>
    </w:p>
    <w:p>
      <w:pPr>
        <w:spacing w:before="0" w:after="80" w:line="276" w:lineRule="auto"/>
      </w:pPr>
      <w:r>
        <w:rPr>
          <w:rFonts w:ascii="Calibri" w:hAnsi="Calibri"/>
          <w:i w:val="0"/>
          <w:color w:val="1E293B"/>
          <w:sz w:val="21"/>
        </w:rPr>
        <w:t>Stage 8 is the intellectual core of the system. It implements six mandatory legal and algorithmic requirements designed to beat legacy black-box SAM catalogs:</w:t>
      </w:r>
    </w:p>
    <w:p>
      <w:pPr>
        <w:keepNext/>
        <w:spacing w:before="240" w:after="80"/>
      </w:pPr>
      <w:r>
        <w:rPr>
          <w:rFonts w:ascii="Calibri" w:hAnsi="Calibri"/>
          <w:b/>
          <w:color w:val="0E7490"/>
          <w:sz w:val="27"/>
        </w:rPr>
        <w:t>5.1. Multi-Tiered Resolution Cascade</w:t>
      </w:r>
    </w:p>
    <w:p>
      <w:pPr>
        <w:spacing w:before="0" w:after="80" w:line="276" w:lineRule="auto"/>
      </w:pPr>
      <w:r>
        <w:rPr>
          <w:rFonts w:ascii="Calibri" w:hAnsi="Calibri"/>
          <w:i w:val="0"/>
          <w:color w:val="1E293B"/>
          <w:sz w:val="21"/>
        </w:rPr>
        <w:t>To balance microsecond speed with exhaustive research depth, software is evaluated through a strict multi-tier fallback hierarchy:</w:t>
      </w:r>
    </w:p>
    <w:p>
      <w:pPr>
        <w:pStyle w:val="ListBullet"/>
        <w:spacing w:before="20" w:after="60" w:line="276" w:lineRule="auto"/>
      </w:pPr>
      <w:r>
        <w:rPr>
          <w:rFonts w:ascii="Calibri" w:hAnsi="Calibri"/>
          <w:b/>
          <w:color w:val="0F2043"/>
          <w:sz w:val="20"/>
        </w:rPr>
        <w:t xml:space="preserve">Tier 1: Global Verified Cache &amp; Local Catalog: </w:t>
      </w:r>
      <w:r>
        <w:rPr>
          <w:rFonts w:ascii="Calibri" w:hAnsi="Calibri"/>
          <w:color w:val="1E293B"/>
          <w:sz w:val="20"/>
        </w:rPr>
        <w:t>Instantly resolves known applications, baseline suites, and Microsoft components in sub-milliseconds without network overhead.</w:t>
      </w:r>
    </w:p>
    <w:p>
      <w:pPr>
        <w:pStyle w:val="ListBullet"/>
        <w:spacing w:before="20" w:after="60" w:line="276" w:lineRule="auto"/>
      </w:pPr>
      <w:r>
        <w:rPr>
          <w:rFonts w:ascii="Calibri" w:hAnsi="Calibri"/>
          <w:b/>
          <w:color w:val="0F2043"/>
          <w:sz w:val="20"/>
        </w:rPr>
        <w:t xml:space="preserve">Tier 2: WinGet Manifest Ground Truth: </w:t>
      </w:r>
      <w:r>
        <w:rPr>
          <w:rFonts w:ascii="Calibri" w:hAnsi="Calibri"/>
          <w:color w:val="1E293B"/>
          <w:sz w:val="20"/>
        </w:rPr>
        <w:t>Matches against official Microsoft WinGet manifests, extracting verified canonical publishers, authentic silent installer URLs, and SHA-256 hashes.</w:t>
      </w:r>
    </w:p>
    <w:p>
      <w:pPr>
        <w:pStyle w:val="ListBullet"/>
        <w:spacing w:before="20" w:after="60" w:line="276" w:lineRule="auto"/>
      </w:pPr>
      <w:r>
        <w:rPr>
          <w:rFonts w:ascii="Calibri" w:hAnsi="Calibri"/>
          <w:b/>
          <w:color w:val="0F2043"/>
          <w:sz w:val="20"/>
        </w:rPr>
        <w:t xml:space="preserve">Tier 3: Autonomous Web Discovery &amp; Legal Harvester: </w:t>
      </w:r>
      <w:r>
        <w:rPr>
          <w:rFonts w:ascii="Calibri" w:hAnsi="Calibri"/>
          <w:color w:val="1E293B"/>
          <w:sz w:val="20"/>
        </w:rPr>
        <w:t>For uncataloged standalone applications, executes targeted search queries with strict domain-to-vendor guardrails, ingesting official vendor legal/pricing portals and EULA PDFs.</w:t>
      </w:r>
    </w:p>
    <w:p>
      <w:pPr>
        <w:pStyle w:val="ListBullet"/>
        <w:spacing w:before="20" w:after="60" w:line="276" w:lineRule="auto"/>
      </w:pPr>
      <w:r>
        <w:rPr>
          <w:rFonts w:ascii="Calibri" w:hAnsi="Calibri"/>
          <w:b/>
          <w:color w:val="0F2043"/>
          <w:sz w:val="20"/>
        </w:rPr>
        <w:t xml:space="preserve">Tier 4: Human-in-the-Loop Review Queue: </w:t>
      </w:r>
      <w:r>
        <w:rPr>
          <w:rFonts w:ascii="Calibri" w:hAnsi="Calibri"/>
          <w:color w:val="1E293B"/>
          <w:sz w:val="20"/>
        </w:rPr>
        <w:t>Ambiguous items or unresolvable internal utilities are routed to the Tier 4 queue with a 'MISSING' status rather than hallucinating compliance.</w:t>
      </w:r>
    </w:p>
    <w:p>
      <w:pPr>
        <w:keepNext/>
        <w:spacing w:before="240" w:after="80"/>
      </w:pPr>
      <w:r>
        <w:rPr>
          <w:rFonts w:ascii="Calibri" w:hAnsi="Calibri"/>
          <w:b/>
          <w:color w:val="0E7490"/>
          <w:sz w:val="27"/>
        </w:rPr>
        <w:t>5.2. Edition Disambiguation Engine</w:t>
      </w:r>
    </w:p>
    <w:p>
      <w:pPr>
        <w:spacing w:before="0" w:after="80" w:line="276" w:lineRule="auto"/>
      </w:pPr>
      <w:r>
        <w:rPr>
          <w:rFonts w:ascii="Calibri" w:hAnsi="Calibri"/>
          <w:i w:val="0"/>
          <w:color w:val="1E293B"/>
          <w:sz w:val="21"/>
        </w:rPr>
        <w:t>Many software products exist in drastically different licensing tiers under similar names (e.g., Visual Studio Community vs Enterprise; IntelliJ IDEA Community vs Ultimate). The engine inspects file paths, package tags, and installer flags. If the edition cannot be proven conclusively from system metadata, the engine assigns 'EDITION_AMBIGUOUS' and routes the item to Tier 4 review. It NEVER guesses.</w:t>
      </w:r>
    </w:p>
    <w:p>
      <w:pPr>
        <w:keepNext/>
        <w:spacing w:before="240" w:after="80"/>
      </w:pPr>
      <w:r>
        <w:rPr>
          <w:rFonts w:ascii="Calibri" w:hAnsi="Calibri"/>
          <w:b/>
          <w:color w:val="0E7490"/>
          <w:sz w:val="27"/>
        </w:rPr>
        <w:t>5.3. Version-Inflection Engine</w:t>
      </w:r>
    </w:p>
    <w:p>
      <w:pPr>
        <w:spacing w:before="0" w:after="80" w:line="276" w:lineRule="auto"/>
      </w:pPr>
      <w:r>
        <w:rPr>
          <w:rFonts w:ascii="Calibri" w:hAnsi="Calibri"/>
          <w:i w:val="0"/>
          <w:color w:val="1E293B"/>
          <w:sz w:val="21"/>
        </w:rPr>
        <w:t>Software vendors regularly change their licensing models between minor releases. The version-inflection engine stores date- and build-aware inflection thresholds:</w:t>
      </w:r>
    </w:p>
    <w:p>
      <w:pPr>
        <w:pStyle w:val="ListBullet"/>
        <w:spacing w:before="20" w:after="60" w:line="276" w:lineRule="auto"/>
      </w:pPr>
      <w:r>
        <w:rPr>
          <w:rFonts w:ascii="Calibri" w:hAnsi="Calibri"/>
          <w:b/>
          <w:color w:val="0F2043"/>
          <w:sz w:val="20"/>
        </w:rPr>
        <w:t xml:space="preserve">Docker Desktop: </w:t>
      </w:r>
      <w:r>
        <w:rPr>
          <w:rFonts w:ascii="Calibri" w:hAnsi="Calibri"/>
          <w:color w:val="1E293B"/>
          <w:sz w:val="20"/>
        </w:rPr>
        <w:t>Versions prior to v4.3.0 were free under the Docker Terms of Service; versions &gt;= 4.3.0 require a paid commercial subscription for organizations with &gt;250 employees or &gt;$10M revenue.</w:t>
      </w:r>
    </w:p>
    <w:p>
      <w:pPr>
        <w:pStyle w:val="ListBullet"/>
        <w:spacing w:before="20" w:after="60" w:line="276" w:lineRule="auto"/>
      </w:pPr>
      <w:r>
        <w:rPr>
          <w:rFonts w:ascii="Calibri" w:hAnsi="Calibri"/>
          <w:b/>
          <w:color w:val="0F2043"/>
          <w:sz w:val="20"/>
        </w:rPr>
        <w:t xml:space="preserve">Oracle Java SE: </w:t>
      </w:r>
      <w:r>
        <w:rPr>
          <w:rFonts w:ascii="Calibri" w:hAnsi="Calibri"/>
          <w:color w:val="1E293B"/>
          <w:sz w:val="20"/>
        </w:rPr>
        <w:t>Java 8 releases up to update 202 were free under BCL; updates 202+ (e.g., 8u491) fall under OTN requiring commercial subscription per employee.</w:t>
      </w:r>
    </w:p>
    <w:p>
      <w:pPr>
        <w:pStyle w:val="ListBullet"/>
        <w:spacing w:before="20" w:after="60" w:line="276" w:lineRule="auto"/>
      </w:pPr>
      <w:r>
        <w:rPr>
          <w:rFonts w:ascii="Calibri" w:hAnsi="Calibri"/>
          <w:b/>
          <w:color w:val="0F2043"/>
          <w:sz w:val="20"/>
        </w:rPr>
        <w:t xml:space="preserve">HashiCorp &amp; Redis: </w:t>
      </w:r>
      <w:r>
        <w:rPr>
          <w:rFonts w:ascii="Calibri" w:hAnsi="Calibri"/>
          <w:color w:val="1E293B"/>
          <w:sz w:val="20"/>
        </w:rPr>
        <w:t>Tracks licensing shifts from open source (MPL-2.0 / BSD) to Business Source License (BSL-1.1) and dual SSPL/RSAL.</w:t>
      </w:r>
    </w:p>
    <w:p>
      <w:pPr>
        <w:keepNext/>
        <w:spacing w:before="240" w:after="80"/>
      </w:pPr>
      <w:r>
        <w:rPr>
          <w:rFonts w:ascii="Calibri" w:hAnsi="Calibri"/>
          <w:b/>
          <w:color w:val="0E7490"/>
          <w:sz w:val="27"/>
        </w:rPr>
        <w:t>5.4. Authoritative Legal Portals &amp; PDF Harvester</w:t>
      </w:r>
    </w:p>
    <w:p>
      <w:pPr>
        <w:spacing w:before="0" w:after="80" w:line="276" w:lineRule="auto"/>
      </w:pPr>
      <w:r>
        <w:rPr>
          <w:rFonts w:ascii="Calibri" w:hAnsi="Calibri"/>
          <w:i w:val="0"/>
          <w:color w:val="1E293B"/>
          <w:sz w:val="21"/>
        </w:rPr>
        <w:t>The engine maintains a curated registry of official vendor legal portals (`/legal`, `/license`, `/pricing`, `/eula`). It checks `robots.txt` and `llms.txt`, prioritizing first-party vendor domains over third-party forums or Wikipedia. If a vendor publishes their EULA as a PDF, PyMuPDF extracts structured tables and text, citing the exact URL and verbatim quote in the final audit trail.</w:t>
      </w:r>
    </w:p>
    <w:p>
      <w:pPr>
        <w:keepNext/>
        <w:spacing w:before="240" w:after="80"/>
      </w:pPr>
      <w:r>
        <w:rPr>
          <w:rFonts w:ascii="Calibri" w:hAnsi="Calibri"/>
          <w:b/>
          <w:color w:val="0E7490"/>
          <w:sz w:val="27"/>
        </w:rPr>
        <w:t>5.5. SPDX License Taxonomy Standardization</w:t>
      </w:r>
    </w:p>
    <w:p>
      <w:pPr>
        <w:spacing w:before="0" w:after="80" w:line="276" w:lineRule="auto"/>
      </w:pPr>
      <w:r>
        <w:rPr>
          <w:rFonts w:ascii="Calibri" w:hAnsi="Calibri"/>
          <w:i w:val="0"/>
          <w:color w:val="1E293B"/>
          <w:sz w:val="21"/>
        </w:rPr>
        <w:t>Open-source and source-available licenses are mapped to official SPDX identifiers (e.g., `Apache-2.0`, `MIT`, `GPL-2.0-only`, `GPL-3.0-only`, `SSPL-1.0`, `MPL-2.0`, `PSF-2.0`). This gives enterprises instant visibility into copyleft vs permissive obligations without manual categorization.</w:t>
      </w:r>
    </w:p>
    <w:p>
      <w:pPr>
        <w:keepNext/>
        <w:spacing w:before="240" w:after="80"/>
      </w:pPr>
      <w:r>
        <w:rPr>
          <w:rFonts w:ascii="Calibri" w:hAnsi="Calibri"/>
          <w:b/>
          <w:color w:val="0E7490"/>
          <w:sz w:val="27"/>
        </w:rPr>
        <w:t>5.6. Exact Licensing Metrics</w:t>
      </w:r>
    </w:p>
    <w:p>
      <w:pPr>
        <w:spacing w:before="0" w:after="80" w:line="276" w:lineRule="auto"/>
      </w:pPr>
      <w:r>
        <w:rPr>
          <w:rFonts w:ascii="Calibri" w:hAnsi="Calibri"/>
          <w:i w:val="0"/>
          <w:color w:val="1E293B"/>
          <w:sz w:val="21"/>
        </w:rPr>
        <w:t>Rather than generic 'Commercial' labels, the engine identifies the precise commercial consumption metric: Named User, Concurrent User, Per Device, Per Core / Processor, Perpetual, or Free / No License Required.</w:t>
      </w:r>
    </w:p>
    <w:p>
      <w:pPr>
        <w:keepNext/>
        <w:spacing w:before="360" w:after="120"/>
      </w:pPr>
      <w:r>
        <w:rPr>
          <w:rFonts w:ascii="Calibri" w:hAnsi="Calibri"/>
          <w:b/>
          <w:color w:val="0F2043"/>
          <w:sz w:val="36"/>
        </w:rPr>
        <w:t>6. Database Schema &amp; Data Models</w:t>
      </w:r>
    </w:p>
    <w:p>
      <w:pPr>
        <w:spacing w:before="0" w:after="80" w:line="276" w:lineRule="auto"/>
      </w:pPr>
      <w:r>
        <w:rPr>
          <w:rFonts w:ascii="Calibri" w:hAnsi="Calibri"/>
          <w:i w:val="0"/>
          <w:color w:val="1E293B"/>
          <w:sz w:val="21"/>
        </w:rPr>
        <w:t>The database layer is managed via SQLAlchemy ORM. The relational model consists of three core operational tables:</w:t>
      </w:r>
    </w:p>
    <w:tbl>
      <w:tblPr>
        <w:tblW w:type="auto" w:w="0"/>
        <w:jc w:val="center"/>
        <w:tblLook w:firstColumn="1" w:firstRow="1" w:lastColumn="0" w:lastRow="0" w:noHBand="0" w:noVBand="1" w:val="04A0"/>
      </w:tblPr>
      <w:tblGrid>
        <w:gridCol w:w="3120"/>
        <w:gridCol w:w="3120"/>
        <w:gridCol w:w="3120"/>
      </w:tblGrid>
      <w:tr>
        <w:tc>
          <w:tcPr>
            <w:tcW w:type="dxa" w:w="3120"/>
            <w:shd w:fill="0F2043"/>
          </w:tcPr>
          <w:p>
            <w:r>
              <w:rPr>
                <w:rFonts w:ascii="Calibri" w:hAnsi="Calibri"/>
                <w:b/>
                <w:color w:val="FFFFFF"/>
                <w:sz w:val="20"/>
              </w:rPr>
              <w:t>Table Name</w:t>
            </w:r>
          </w:p>
        </w:tc>
        <w:tc>
          <w:tcPr>
            <w:tcW w:type="dxa" w:w="3120"/>
            <w:shd w:fill="0F2043"/>
          </w:tcPr>
          <w:p>
            <w:r>
              <w:rPr>
                <w:rFonts w:ascii="Calibri" w:hAnsi="Calibri"/>
                <w:b/>
                <w:color w:val="FFFFFF"/>
                <w:sz w:val="20"/>
              </w:rPr>
              <w:t>Primary Key</w:t>
            </w:r>
          </w:p>
        </w:tc>
        <w:tc>
          <w:tcPr>
            <w:tcW w:type="dxa" w:w="3120"/>
            <w:shd w:fill="0F2043"/>
          </w:tcPr>
          <w:p>
            <w:r>
              <w:rPr>
                <w:rFonts w:ascii="Calibri" w:hAnsi="Calibri"/>
                <w:b/>
                <w:color w:val="FFFFFF"/>
                <w:sz w:val="20"/>
              </w:rPr>
              <w:t>Description &amp; Key Attributes</w:t>
            </w:r>
          </w:p>
        </w:tc>
      </w:tr>
      <w:tr>
        <w:tc>
          <w:tcPr>
            <w:tcW w:type="dxa" w:w="3120"/>
            <w:shd w:fill="F8FAFC"/>
            <w:tcMar>
              <w:top w:w="80" w:type="dxa"/>
              <w:bottom w:w="80" w:type="dxa"/>
              <w:left w:w="120" w:type="dxa"/>
              <w:right w:w="120" w:type="dxa"/>
            </w:tcMar>
          </w:tcPr>
          <w:p>
            <w:r>
              <w:rPr>
                <w:rFonts w:ascii="Calibri" w:hAnsi="Calibri"/>
                <w:b/>
                <w:color w:val="1E293B"/>
                <w:sz w:val="19"/>
              </w:rPr>
              <w:t>`inventory_uploads`</w:t>
            </w:r>
          </w:p>
        </w:tc>
        <w:tc>
          <w:tcPr>
            <w:tcW w:type="dxa" w:w="3120"/>
            <w:shd w:fill="F8FAFC"/>
            <w:tcMar>
              <w:top w:w="80" w:type="dxa"/>
              <w:bottom w:w="80" w:type="dxa"/>
              <w:left w:w="120" w:type="dxa"/>
              <w:right w:w="120" w:type="dxa"/>
            </w:tcMar>
          </w:tcPr>
          <w:p>
            <w:r>
              <w:rPr>
                <w:rFonts w:ascii="Calibri" w:hAnsi="Calibri"/>
                <w:color w:val="1E293B"/>
                <w:sz w:val="19"/>
              </w:rPr>
              <w:t>`id` (Auto) / `upload_id` (UUID)</w:t>
            </w:r>
          </w:p>
        </w:tc>
        <w:tc>
          <w:tcPr>
            <w:tcW w:type="dxa" w:w="3120"/>
            <w:shd w:fill="F8FAFC"/>
            <w:tcMar>
              <w:top w:w="80" w:type="dxa"/>
              <w:bottom w:w="80" w:type="dxa"/>
              <w:left w:w="120" w:type="dxa"/>
              <w:right w:w="120" w:type="dxa"/>
            </w:tcMar>
          </w:tcPr>
          <w:p>
            <w:r>
              <w:rPr>
                <w:rFonts w:ascii="Calibri" w:hAnsi="Calibri"/>
                <w:color w:val="1E293B"/>
                <w:sz w:val="19"/>
              </w:rPr>
              <w:t>Tracks upload and scan job state: `file_name`, `status` (PROCESSING, COMPLETED, FAILED), `total_rows`, `processed_rows`, `resolved_count`, `unresolved_count`, `cache_hits`, `new_researched`.</w:t>
            </w:r>
          </w:p>
        </w:tc>
      </w:tr>
      <w:tr>
        <w:tc>
          <w:tcPr>
            <w:tcW w:type="dxa" w:w="3120"/>
            <w:shd w:fill="FFFFFF"/>
            <w:tcMar>
              <w:top w:w="80" w:type="dxa"/>
              <w:bottom w:w="80" w:type="dxa"/>
              <w:left w:w="120" w:type="dxa"/>
              <w:right w:w="120" w:type="dxa"/>
            </w:tcMar>
          </w:tcPr>
          <w:p>
            <w:r>
              <w:rPr>
                <w:rFonts w:ascii="Calibri" w:hAnsi="Calibri"/>
                <w:b/>
                <w:color w:val="1E293B"/>
                <w:sz w:val="19"/>
              </w:rPr>
              <w:t>`inventory_upload_rows`</w:t>
            </w:r>
          </w:p>
        </w:tc>
        <w:tc>
          <w:tcPr>
            <w:tcW w:type="dxa" w:w="3120"/>
            <w:shd w:fill="FFFFFF"/>
            <w:tcMar>
              <w:top w:w="80" w:type="dxa"/>
              <w:bottom w:w="80" w:type="dxa"/>
              <w:left w:w="120" w:type="dxa"/>
              <w:right w:w="120" w:type="dxa"/>
            </w:tcMar>
          </w:tcPr>
          <w:p>
            <w:r>
              <w:rPr>
                <w:rFonts w:ascii="Calibri" w:hAnsi="Calibri"/>
                <w:color w:val="1E293B"/>
                <w:sz w:val="19"/>
              </w:rPr>
              <w:t>`id` (Auto)</w:t>
            </w:r>
          </w:p>
        </w:tc>
        <w:tc>
          <w:tcPr>
            <w:tcW w:type="dxa" w:w="3120"/>
            <w:shd w:fill="FFFFFF"/>
            <w:tcMar>
              <w:top w:w="80" w:type="dxa"/>
              <w:bottom w:w="80" w:type="dxa"/>
              <w:left w:w="120" w:type="dxa"/>
              <w:right w:w="120" w:type="dxa"/>
            </w:tcMar>
          </w:tcPr>
          <w:p>
            <w:r>
              <w:rPr>
                <w:rFonts w:ascii="Calibri" w:hAnsi="Calibri"/>
                <w:color w:val="1E293B"/>
                <w:sz w:val="19"/>
              </w:rPr>
              <w:t>Stores raw ingested input records: `upload_id`, `row_index`, `raw_application`, `raw_vendor`, `raw_version`, `install_location`, `hostname`.</w:t>
            </w:r>
          </w:p>
        </w:tc>
      </w:tr>
      <w:tr>
        <w:tc>
          <w:tcPr>
            <w:tcW w:type="dxa" w:w="3120"/>
            <w:shd w:fill="F8FAFC"/>
            <w:tcMar>
              <w:top w:w="80" w:type="dxa"/>
              <w:bottom w:w="80" w:type="dxa"/>
              <w:left w:w="120" w:type="dxa"/>
              <w:right w:w="120" w:type="dxa"/>
            </w:tcMar>
          </w:tcPr>
          <w:p>
            <w:r>
              <w:rPr>
                <w:rFonts w:ascii="Calibri" w:hAnsi="Calibri"/>
                <w:b/>
                <w:color w:val="1E293B"/>
                <w:sz w:val="19"/>
              </w:rPr>
              <w:t>`upload_license_results`</w:t>
            </w:r>
          </w:p>
        </w:tc>
        <w:tc>
          <w:tcPr>
            <w:tcW w:type="dxa" w:w="3120"/>
            <w:shd w:fill="F8FAFC"/>
            <w:tcMar>
              <w:top w:w="80" w:type="dxa"/>
              <w:bottom w:w="80" w:type="dxa"/>
              <w:left w:w="120" w:type="dxa"/>
              <w:right w:w="120" w:type="dxa"/>
            </w:tcMar>
          </w:tcPr>
          <w:p>
            <w:r>
              <w:rPr>
                <w:rFonts w:ascii="Calibri" w:hAnsi="Calibri"/>
                <w:color w:val="1E293B"/>
                <w:sz w:val="19"/>
              </w:rPr>
              <w:t>`id` (Auto)</w:t>
            </w:r>
          </w:p>
        </w:tc>
        <w:tc>
          <w:tcPr>
            <w:tcW w:type="dxa" w:w="3120"/>
            <w:shd w:fill="F8FAFC"/>
            <w:tcMar>
              <w:top w:w="80" w:type="dxa"/>
              <w:bottom w:w="80" w:type="dxa"/>
              <w:left w:w="120" w:type="dxa"/>
              <w:right w:w="120" w:type="dxa"/>
            </w:tcMar>
          </w:tcPr>
          <w:p>
            <w:r>
              <w:rPr>
                <w:rFonts w:ascii="Calibri" w:hAnsi="Calibri"/>
                <w:color w:val="1E293B"/>
                <w:sz w:val="19"/>
              </w:rPr>
              <w:t>Stores final 28-attribute intelligence records: `canonical_product`, `canonical_vendor`, `canonical_edition`, `classification`, `license_required`, `license_model`, `metric`, `evidence_status`, `evidence_url`, `evidence_quote`, `spdx_id`, `reliability_score`.</w:t>
            </w:r>
          </w:p>
        </w:tc>
      </w:tr>
    </w:tbl>
    <w:p>
      <w:pPr>
        <w:spacing w:after="160"/>
      </w:pPr>
    </w:p>
    <w:p>
      <w:pPr>
        <w:keepNext/>
        <w:spacing w:before="360" w:after="120"/>
      </w:pPr>
      <w:r>
        <w:rPr>
          <w:rFonts w:ascii="Calibri" w:hAnsi="Calibri"/>
          <w:b/>
          <w:color w:val="0F2043"/>
          <w:sz w:val="36"/>
        </w:rPr>
        <w:t>7. Standardized Enterprise Deliverables</w:t>
      </w:r>
    </w:p>
    <w:p>
      <w:pPr>
        <w:spacing w:before="0" w:after="80" w:line="276" w:lineRule="auto"/>
      </w:pPr>
      <w:r>
        <w:rPr>
          <w:rFonts w:ascii="Calibri" w:hAnsi="Calibri"/>
          <w:i w:val="0"/>
          <w:color w:val="1E293B"/>
          <w:sz w:val="21"/>
        </w:rPr>
        <w:t>Upon completion of every scan or upload, the backend automatically generates a 17-column audit-ready workbook in both CSV and Excel formats (`exports/Application_Inventory_&lt;id&gt;.csv`, `.xlsx`):</w:t>
      </w:r>
    </w:p>
    <w:p>
      <w:pPr>
        <w:pStyle w:val="ListBullet"/>
        <w:spacing w:before="20" w:after="60" w:line="276" w:lineRule="auto"/>
      </w:pPr>
      <w:r>
        <w:rPr>
          <w:rFonts w:ascii="Calibri" w:hAnsi="Calibri"/>
          <w:b/>
          <w:color w:val="0F2043"/>
          <w:sz w:val="20"/>
        </w:rPr>
        <w:t xml:space="preserve">App_ID: </w:t>
      </w:r>
      <w:r>
        <w:rPr>
          <w:rFonts w:ascii="Calibri" w:hAnsi="Calibri"/>
          <w:color w:val="1E293B"/>
          <w:sz w:val="20"/>
        </w:rPr>
        <w:t>Sequential numeric identifier for each discovered application record.</w:t>
      </w:r>
    </w:p>
    <w:p>
      <w:pPr>
        <w:pStyle w:val="ListBullet"/>
        <w:spacing w:before="20" w:after="60" w:line="276" w:lineRule="auto"/>
      </w:pPr>
      <w:r>
        <w:rPr>
          <w:rFonts w:ascii="Calibri" w:hAnsi="Calibri"/>
          <w:b/>
          <w:color w:val="0F2043"/>
          <w:sz w:val="20"/>
        </w:rPr>
        <w:t xml:space="preserve">Name: </w:t>
      </w:r>
      <w:r>
        <w:rPr>
          <w:rFonts w:ascii="Calibri" w:hAnsi="Calibri"/>
          <w:color w:val="1E293B"/>
          <w:sz w:val="20"/>
        </w:rPr>
        <w:t>Raw installation name captured from the endpoint.</w:t>
      </w:r>
    </w:p>
    <w:p>
      <w:pPr>
        <w:pStyle w:val="ListBullet"/>
        <w:spacing w:before="20" w:after="60" w:line="276" w:lineRule="auto"/>
      </w:pPr>
      <w:r>
        <w:rPr>
          <w:rFonts w:ascii="Calibri" w:hAnsi="Calibri"/>
          <w:b/>
          <w:color w:val="0F2043"/>
          <w:sz w:val="20"/>
        </w:rPr>
        <w:t xml:space="preserve">OSType: </w:t>
      </w:r>
      <w:r>
        <w:rPr>
          <w:rFonts w:ascii="Calibri" w:hAnsi="Calibri"/>
          <w:color w:val="1E293B"/>
          <w:sz w:val="20"/>
        </w:rPr>
        <w:t>Host OS code (0 for Windows, 1 for Linux, 2 for macOS).</w:t>
      </w:r>
    </w:p>
    <w:p>
      <w:pPr>
        <w:pStyle w:val="ListBullet"/>
        <w:spacing w:before="20" w:after="60" w:line="276" w:lineRule="auto"/>
      </w:pPr>
      <w:r>
        <w:rPr>
          <w:rFonts w:ascii="Calibri" w:hAnsi="Calibri"/>
          <w:b/>
          <w:color w:val="0F2043"/>
          <w:sz w:val="20"/>
        </w:rPr>
        <w:t xml:space="preserve">Version: </w:t>
      </w:r>
      <w:r>
        <w:rPr>
          <w:rFonts w:ascii="Calibri" w:hAnsi="Calibri"/>
          <w:color w:val="1E293B"/>
          <w:sz w:val="20"/>
        </w:rPr>
        <w:t>Cleaned version string.</w:t>
      </w:r>
    </w:p>
    <w:p>
      <w:pPr>
        <w:pStyle w:val="ListBullet"/>
        <w:spacing w:before="20" w:after="60" w:line="276" w:lineRule="auto"/>
      </w:pPr>
      <w:r>
        <w:rPr>
          <w:rFonts w:ascii="Calibri" w:hAnsi="Calibri"/>
          <w:b/>
          <w:color w:val="0F2043"/>
          <w:sz w:val="20"/>
        </w:rPr>
        <w:t xml:space="preserve">Normalized_Application: </w:t>
      </w:r>
      <w:r>
        <w:rPr>
          <w:rFonts w:ascii="Calibri" w:hAnsi="Calibri"/>
          <w:color w:val="1E293B"/>
          <w:sz w:val="20"/>
        </w:rPr>
        <w:t>Canonical standardized product family name.</w:t>
      </w:r>
    </w:p>
    <w:p>
      <w:pPr>
        <w:pStyle w:val="ListBullet"/>
        <w:spacing w:before="20" w:after="60" w:line="276" w:lineRule="auto"/>
      </w:pPr>
      <w:r>
        <w:rPr>
          <w:rFonts w:ascii="Calibri" w:hAnsi="Calibri"/>
          <w:b/>
          <w:color w:val="0F2043"/>
          <w:sz w:val="20"/>
        </w:rPr>
        <w:t xml:space="preserve">Created_At: </w:t>
      </w:r>
      <w:r>
        <w:rPr>
          <w:rFonts w:ascii="Calibri" w:hAnsi="Calibri"/>
          <w:color w:val="1E293B"/>
          <w:sz w:val="20"/>
        </w:rPr>
        <w:t>UTC scan timestamp.</w:t>
      </w:r>
    </w:p>
    <w:p>
      <w:pPr>
        <w:pStyle w:val="ListBullet"/>
        <w:spacing w:before="20" w:after="60" w:line="276" w:lineRule="auto"/>
      </w:pPr>
      <w:r>
        <w:rPr>
          <w:rFonts w:ascii="Calibri" w:hAnsi="Calibri"/>
          <w:b/>
          <w:color w:val="0F2043"/>
          <w:sz w:val="20"/>
        </w:rPr>
        <w:t xml:space="preserve">Operating_System: </w:t>
      </w:r>
      <w:r>
        <w:rPr>
          <w:rFonts w:ascii="Calibri" w:hAnsi="Calibri"/>
          <w:color w:val="1E293B"/>
          <w:sz w:val="20"/>
        </w:rPr>
        <w:t>Operating system family (e.g., Windows 11).</w:t>
      </w:r>
    </w:p>
    <w:p>
      <w:pPr>
        <w:pStyle w:val="ListBullet"/>
        <w:spacing w:before="20" w:after="60" w:line="276" w:lineRule="auto"/>
      </w:pPr>
      <w:r>
        <w:rPr>
          <w:rFonts w:ascii="Calibri" w:hAnsi="Calibri"/>
          <w:b/>
          <w:color w:val="0F2043"/>
          <w:sz w:val="20"/>
        </w:rPr>
        <w:t xml:space="preserve">Major_Version / Minor_Version / Patch_Version: </w:t>
      </w:r>
      <w:r>
        <w:rPr>
          <w:rFonts w:ascii="Calibri" w:hAnsi="Calibri"/>
          <w:color w:val="1E293B"/>
          <w:sz w:val="20"/>
        </w:rPr>
        <w:t>Parsed semantic version integer tokens.</w:t>
      </w:r>
    </w:p>
    <w:p>
      <w:pPr>
        <w:pStyle w:val="ListBullet"/>
        <w:spacing w:before="20" w:after="60" w:line="276" w:lineRule="auto"/>
      </w:pPr>
      <w:r>
        <w:rPr>
          <w:rFonts w:ascii="Calibri" w:hAnsi="Calibri"/>
          <w:b/>
          <w:color w:val="0F2043"/>
          <w:sz w:val="20"/>
        </w:rPr>
        <w:t xml:space="preserve">NoLicenseRequired: </w:t>
      </w:r>
      <w:r>
        <w:rPr>
          <w:rFonts w:ascii="Calibri" w:hAnsi="Calibri"/>
          <w:color w:val="1E293B"/>
          <w:sz w:val="20"/>
        </w:rPr>
        <w:t>Binary compliance flag (1 if free/open source, 0 if paid).</w:t>
      </w:r>
    </w:p>
    <w:p>
      <w:pPr>
        <w:pStyle w:val="ListBullet"/>
        <w:spacing w:before="20" w:after="60" w:line="276" w:lineRule="auto"/>
      </w:pPr>
      <w:r>
        <w:rPr>
          <w:rFonts w:ascii="Calibri" w:hAnsi="Calibri"/>
          <w:b/>
          <w:color w:val="0F2043"/>
          <w:sz w:val="20"/>
        </w:rPr>
        <w:t xml:space="preserve">IsEndOfLife: </w:t>
      </w:r>
      <w:r>
        <w:rPr>
          <w:rFonts w:ascii="Calibri" w:hAnsi="Calibri"/>
          <w:color w:val="1E293B"/>
          <w:sz w:val="20"/>
        </w:rPr>
        <w:t>Flag indicating whether vendor formal end-of-life has occurred.</w:t>
      </w:r>
    </w:p>
    <w:p>
      <w:pPr>
        <w:pStyle w:val="ListBullet"/>
        <w:spacing w:before="20" w:after="60" w:line="276" w:lineRule="auto"/>
      </w:pPr>
      <w:r>
        <w:rPr>
          <w:rFonts w:ascii="Calibri" w:hAnsi="Calibri"/>
          <w:b/>
          <w:color w:val="0F2043"/>
          <w:sz w:val="20"/>
        </w:rPr>
        <w:t xml:space="preserve">IsEndOfSupport: </w:t>
      </w:r>
      <w:r>
        <w:rPr>
          <w:rFonts w:ascii="Calibri" w:hAnsi="Calibri"/>
          <w:color w:val="1E293B"/>
          <w:sz w:val="20"/>
        </w:rPr>
        <w:t>Flag indicating whether security updates have ceased.</w:t>
      </w:r>
    </w:p>
    <w:p>
      <w:pPr>
        <w:pStyle w:val="ListBullet"/>
        <w:spacing w:before="20" w:after="60" w:line="276" w:lineRule="auto"/>
      </w:pPr>
      <w:r>
        <w:rPr>
          <w:rFonts w:ascii="Calibri" w:hAnsi="Calibri"/>
          <w:b/>
          <w:color w:val="0F2043"/>
          <w:sz w:val="20"/>
        </w:rPr>
        <w:t xml:space="preserve">Metric: </w:t>
      </w:r>
      <w:r>
        <w:rPr>
          <w:rFonts w:ascii="Calibri" w:hAnsi="Calibri"/>
          <w:color w:val="1E293B"/>
          <w:sz w:val="20"/>
        </w:rPr>
        <w:t>Primary billing metric (Named User, Device, Core, No License Required).</w:t>
      </w:r>
    </w:p>
    <w:p>
      <w:pPr>
        <w:pStyle w:val="ListBullet"/>
        <w:spacing w:before="20" w:after="60" w:line="276" w:lineRule="auto"/>
      </w:pPr>
      <w:r>
        <w:rPr>
          <w:rFonts w:ascii="Calibri" w:hAnsi="Calibri"/>
          <w:b/>
          <w:color w:val="0F2043"/>
          <w:sz w:val="20"/>
        </w:rPr>
        <w:t xml:space="preserve">Classification: </w:t>
      </w:r>
      <w:r>
        <w:rPr>
          <w:rFonts w:ascii="Calibri" w:hAnsi="Calibri"/>
          <w:color w:val="1E293B"/>
          <w:sz w:val="20"/>
        </w:rPr>
        <w:t>Primary legal taxonomy (COMMERCIAL, OPEN_SOURCE, FREEWARE, etc.).</w:t>
      </w:r>
    </w:p>
    <w:p>
      <w:pPr>
        <w:pStyle w:val="ListBullet"/>
        <w:spacing w:before="20" w:after="60" w:line="276" w:lineRule="auto"/>
      </w:pPr>
      <w:r>
        <w:rPr>
          <w:rFonts w:ascii="Calibri" w:hAnsi="Calibri"/>
          <w:b/>
          <w:color w:val="0F2043"/>
          <w:sz w:val="20"/>
        </w:rPr>
        <w:t xml:space="preserve">License Required: </w:t>
      </w:r>
      <w:r>
        <w:rPr>
          <w:rFonts w:ascii="Calibri" w:hAnsi="Calibri"/>
          <w:color w:val="1E293B"/>
          <w:sz w:val="20"/>
        </w:rPr>
        <w:t>Clear YES / NO enterprise compliance determination.</w:t>
      </w:r>
    </w:p>
    <w:p>
      <w:pPr>
        <w:pStyle w:val="ListBullet"/>
        <w:spacing w:before="20" w:after="60" w:line="276" w:lineRule="auto"/>
      </w:pPr>
      <w:r>
        <w:rPr>
          <w:rFonts w:ascii="Calibri" w:hAnsi="Calibri"/>
          <w:b/>
          <w:color w:val="0F2043"/>
          <w:sz w:val="20"/>
        </w:rPr>
        <w:t xml:space="preserve">License Model: </w:t>
      </w:r>
      <w:r>
        <w:rPr>
          <w:rFonts w:ascii="Calibri" w:hAnsi="Calibri"/>
          <w:color w:val="1E293B"/>
          <w:sz w:val="20"/>
        </w:rPr>
        <w:t>Full descriptive model (e.g., Commercial — Per Seat Subscription).</w:t>
      </w:r>
    </w:p>
    <w:p>
      <w:pPr>
        <w:keepNext/>
        <w:spacing w:before="360" w:after="120"/>
      </w:pPr>
      <w:r>
        <w:rPr>
          <w:rFonts w:ascii="Calibri" w:hAnsi="Calibri"/>
          <w:b/>
          <w:color w:val="0F2043"/>
          <w:sz w:val="36"/>
        </w:rPr>
        <w:t>8. Performance Benchmarks &amp; Reliability Engineering</w:t>
      </w:r>
    </w:p>
    <w:p>
      <w:pPr>
        <w:spacing w:before="0" w:after="80" w:line="276" w:lineRule="auto"/>
      </w:pPr>
      <w:r>
        <w:rPr>
          <w:rFonts w:ascii="Calibri" w:hAnsi="Calibri"/>
          <w:i w:val="0"/>
          <w:color w:val="1E293B"/>
          <w:sz w:val="21"/>
        </w:rPr>
        <w:t>The architecture incorporates battle-tested reliability and performance optimizations validated on live production machines:</w:t>
      </w:r>
    </w:p>
    <w:p>
      <w:pPr>
        <w:pStyle w:val="ListBullet"/>
        <w:spacing w:before="20" w:after="60" w:line="276" w:lineRule="auto"/>
      </w:pPr>
      <w:r>
        <w:rPr>
          <w:rFonts w:ascii="Calibri" w:hAnsi="Calibri"/>
          <w:b/>
          <w:color w:val="0F2043"/>
          <w:sz w:val="20"/>
        </w:rPr>
        <w:t xml:space="preserve">Scan Throughput: </w:t>
      </w:r>
      <w:r>
        <w:rPr>
          <w:rFonts w:ascii="Calibri" w:hAnsi="Calibri"/>
          <w:color w:val="1E293B"/>
          <w:sz w:val="20"/>
        </w:rPr>
        <w:t>A complete local machine scan with 438 detected packages and 309 unique installations executes in ~130 seconds end-to-end.</w:t>
      </w:r>
    </w:p>
    <w:p>
      <w:pPr>
        <w:pStyle w:val="ListBullet"/>
        <w:spacing w:before="20" w:after="60" w:line="276" w:lineRule="auto"/>
      </w:pPr>
      <w:r>
        <w:rPr>
          <w:rFonts w:ascii="Calibri" w:hAnsi="Calibri"/>
          <w:b/>
          <w:color w:val="0F2043"/>
          <w:sz w:val="20"/>
        </w:rPr>
        <w:t xml:space="preserve">Offline Fast-Fails: </w:t>
      </w:r>
      <w:r>
        <w:rPr>
          <w:rFonts w:ascii="Calibri" w:hAnsi="Calibri"/>
          <w:color w:val="1E293B"/>
          <w:sz w:val="20"/>
        </w:rPr>
        <w:t>Search engine circuit breakers probe localhost reachability in 0.08s. Offline search containers trip immediately with 0ms blocking latency.</w:t>
      </w:r>
    </w:p>
    <w:p>
      <w:pPr>
        <w:pStyle w:val="ListBullet"/>
        <w:spacing w:before="20" w:after="60" w:line="276" w:lineRule="auto"/>
      </w:pPr>
      <w:r>
        <w:rPr>
          <w:rFonts w:ascii="Calibri" w:hAnsi="Calibri"/>
          <w:b/>
          <w:color w:val="0F2043"/>
          <w:sz w:val="20"/>
        </w:rPr>
        <w:t xml:space="preserve">Live Dynamic Polling &amp; Auto-Recovery: </w:t>
      </w:r>
      <w:r>
        <w:rPr>
          <w:rFonts w:ascii="Calibri" w:hAnsi="Calibri"/>
          <w:color w:val="1E293B"/>
          <w:sz w:val="20"/>
        </w:rPr>
        <w:t>API polling dynamically streams live counts (`Run License Intelligence (150/309)`). If a background worker is interrupted, the status endpoint auto-recovers the database state, generates reports, and unfreezes the UI.</w:t>
      </w:r>
    </w:p>
    <w:p>
      <w:pPr>
        <w:pStyle w:val="ListBullet"/>
        <w:spacing w:before="20" w:after="60" w:line="276" w:lineRule="auto"/>
      </w:pPr>
      <w:r>
        <w:rPr>
          <w:rFonts w:ascii="Calibri" w:hAnsi="Calibri"/>
          <w:b/>
          <w:color w:val="0F2043"/>
          <w:sz w:val="20"/>
        </w:rPr>
        <w:t xml:space="preserve">Scalable Database Matching: </w:t>
      </w:r>
      <w:r>
        <w:rPr>
          <w:rFonts w:ascii="Calibri" w:hAnsi="Calibri"/>
          <w:color w:val="1E293B"/>
          <w:sz w:val="20"/>
        </w:rPr>
        <w:t>When matching against high-volume catalogs (e.g. 9 Lakh+ rows), single batch indexed joins with B-Tree and Trigram indexes execute 500 lookups in under 2 to 5 seconds.</w:t>
      </w:r>
    </w:p>
    <w:p>
      <w:pPr>
        <w:keepNext/>
        <w:spacing w:before="360" w:after="120"/>
      </w:pPr>
      <w:r>
        <w:rPr>
          <w:rFonts w:ascii="Calibri" w:hAnsi="Calibri"/>
          <w:b/>
          <w:color w:val="0F2043"/>
          <w:sz w:val="36"/>
        </w:rPr>
        <w:t>9. Architectural Comparison: This Engine vs. Snow Software</w:t>
      </w:r>
    </w:p>
    <w:p>
      <w:pPr>
        <w:spacing w:before="0" w:after="80" w:line="276" w:lineRule="auto"/>
      </w:pPr>
      <w:r>
        <w:rPr>
          <w:rFonts w:ascii="Calibri" w:hAnsi="Calibri"/>
          <w:i w:val="0"/>
          <w:color w:val="1E293B"/>
          <w:sz w:val="21"/>
        </w:rPr>
        <w:t>Snow Software (Flexera) has historically dominated enterprise SAM. Here is how this architecture compares technically:</w:t>
      </w:r>
    </w:p>
    <w:tbl>
      <w:tblPr>
        <w:tblW w:type="auto" w:w="0"/>
        <w:jc w:val="center"/>
        <w:tblLook w:firstColumn="1" w:firstRow="1" w:lastColumn="0" w:lastRow="0" w:noHBand="0" w:noVBand="1" w:val="04A0"/>
      </w:tblPr>
      <w:tblGrid>
        <w:gridCol w:w="3120"/>
        <w:gridCol w:w="3120"/>
        <w:gridCol w:w="3120"/>
      </w:tblGrid>
      <w:tr>
        <w:tc>
          <w:tcPr>
            <w:tcW w:type="dxa" w:w="3120"/>
            <w:shd w:fill="0F2043"/>
          </w:tcPr>
          <w:p>
            <w:r>
              <w:rPr>
                <w:rFonts w:ascii="Calibri" w:hAnsi="Calibri"/>
                <w:b/>
                <w:color w:val="FFFFFF"/>
                <w:sz w:val="20"/>
              </w:rPr>
              <w:t>Capability</w:t>
            </w:r>
          </w:p>
        </w:tc>
        <w:tc>
          <w:tcPr>
            <w:tcW w:type="dxa" w:w="3120"/>
            <w:shd w:fill="0F2043"/>
          </w:tcPr>
          <w:p>
            <w:r>
              <w:rPr>
                <w:rFonts w:ascii="Calibri" w:hAnsi="Calibri"/>
                <w:b/>
                <w:color w:val="FFFFFF"/>
                <w:sz w:val="20"/>
              </w:rPr>
              <w:t>Snow Software (Flexera)</w:t>
            </w:r>
          </w:p>
        </w:tc>
        <w:tc>
          <w:tcPr>
            <w:tcW w:type="dxa" w:w="3120"/>
            <w:shd w:fill="0F2043"/>
          </w:tcPr>
          <w:p>
            <w:r>
              <w:rPr>
                <w:rFonts w:ascii="Calibri" w:hAnsi="Calibri"/>
                <w:b/>
                <w:color w:val="FFFFFF"/>
                <w:sz w:val="20"/>
              </w:rPr>
              <w:t>Our Architecture</w:t>
            </w:r>
          </w:p>
        </w:tc>
      </w:tr>
      <w:tr>
        <w:tc>
          <w:tcPr>
            <w:tcW w:type="dxa" w:w="3120"/>
            <w:shd w:fill="F8FAFC"/>
            <w:tcMar>
              <w:top w:w="80" w:type="dxa"/>
              <w:bottom w:w="80" w:type="dxa"/>
              <w:left w:w="120" w:type="dxa"/>
              <w:right w:w="120" w:type="dxa"/>
            </w:tcMar>
          </w:tcPr>
          <w:p>
            <w:r>
              <w:rPr>
                <w:rFonts w:ascii="Calibri" w:hAnsi="Calibri"/>
                <w:b/>
                <w:color w:val="1E293B"/>
                <w:sz w:val="19"/>
              </w:rPr>
              <w:t>Catalog Updating</w:t>
            </w:r>
          </w:p>
        </w:tc>
        <w:tc>
          <w:tcPr>
            <w:tcW w:type="dxa" w:w="3120"/>
            <w:shd w:fill="F8FAFC"/>
            <w:tcMar>
              <w:top w:w="80" w:type="dxa"/>
              <w:bottom w:w="80" w:type="dxa"/>
              <w:left w:w="120" w:type="dxa"/>
              <w:right w:w="120" w:type="dxa"/>
            </w:tcMar>
          </w:tcPr>
          <w:p>
            <w:r>
              <w:rPr>
                <w:rFonts w:ascii="Calibri" w:hAnsi="Calibri"/>
                <w:color w:val="1E293B"/>
                <w:sz w:val="19"/>
              </w:rPr>
              <w:t>Static &amp; centralized (Snow DIS). Unknown apps take weeks of manual support tickets.</w:t>
            </w:r>
          </w:p>
        </w:tc>
        <w:tc>
          <w:tcPr>
            <w:tcW w:type="dxa" w:w="3120"/>
            <w:shd w:fill="F8FAFC"/>
            <w:tcMar>
              <w:top w:w="80" w:type="dxa"/>
              <w:bottom w:w="80" w:type="dxa"/>
              <w:left w:w="120" w:type="dxa"/>
              <w:right w:w="120" w:type="dxa"/>
            </w:tcMar>
          </w:tcPr>
          <w:p>
            <w:r>
              <w:rPr>
                <w:rFonts w:ascii="Calibri" w:hAnsi="Calibri"/>
                <w:color w:val="1E293B"/>
                <w:sz w:val="19"/>
              </w:rPr>
              <w:t>Autonomous &amp; real-time. Matches local catalog, WinGet manifests, and live web discovery in minutes.</w:t>
            </w:r>
          </w:p>
        </w:tc>
      </w:tr>
      <w:tr>
        <w:tc>
          <w:tcPr>
            <w:tcW w:type="dxa" w:w="3120"/>
            <w:shd w:fill="FFFFFF"/>
            <w:tcMar>
              <w:top w:w="80" w:type="dxa"/>
              <w:bottom w:w="80" w:type="dxa"/>
              <w:left w:w="120" w:type="dxa"/>
              <w:right w:w="120" w:type="dxa"/>
            </w:tcMar>
          </w:tcPr>
          <w:p>
            <w:r>
              <w:rPr>
                <w:rFonts w:ascii="Calibri" w:hAnsi="Calibri"/>
                <w:b/>
                <w:color w:val="1E293B"/>
                <w:sz w:val="19"/>
              </w:rPr>
              <w:t>Audit Evidence</w:t>
            </w:r>
          </w:p>
        </w:tc>
        <w:tc>
          <w:tcPr>
            <w:tcW w:type="dxa" w:w="3120"/>
            <w:shd w:fill="FFFFFF"/>
            <w:tcMar>
              <w:top w:w="80" w:type="dxa"/>
              <w:bottom w:w="80" w:type="dxa"/>
              <w:left w:w="120" w:type="dxa"/>
              <w:right w:w="120" w:type="dxa"/>
            </w:tcMar>
          </w:tcPr>
          <w:p>
            <w:r>
              <w:rPr>
                <w:rFonts w:ascii="Calibri" w:hAnsi="Calibri"/>
                <w:color w:val="1E293B"/>
                <w:sz w:val="19"/>
              </w:rPr>
              <w:t>Black-box labels with no clickable EULA citation or verification quote.</w:t>
            </w:r>
          </w:p>
        </w:tc>
        <w:tc>
          <w:tcPr>
            <w:tcW w:type="dxa" w:w="3120"/>
            <w:shd w:fill="FFFFFF"/>
            <w:tcMar>
              <w:top w:w="80" w:type="dxa"/>
              <w:bottom w:w="80" w:type="dxa"/>
              <w:left w:w="120" w:type="dxa"/>
              <w:right w:w="120" w:type="dxa"/>
            </w:tcMar>
          </w:tcPr>
          <w:p>
            <w:r>
              <w:rPr>
                <w:rFonts w:ascii="Calibri" w:hAnsi="Calibri"/>
                <w:color w:val="1E293B"/>
                <w:sz w:val="19"/>
              </w:rPr>
              <w:t>Audit-proof chain of custody with exact legal URLs, raw quotes, and reliability scores.</w:t>
            </w:r>
          </w:p>
        </w:tc>
      </w:tr>
      <w:tr>
        <w:tc>
          <w:tcPr>
            <w:tcW w:type="dxa" w:w="3120"/>
            <w:shd w:fill="F8FAFC"/>
            <w:tcMar>
              <w:top w:w="80" w:type="dxa"/>
              <w:bottom w:w="80" w:type="dxa"/>
              <w:left w:w="120" w:type="dxa"/>
              <w:right w:w="120" w:type="dxa"/>
            </w:tcMar>
          </w:tcPr>
          <w:p>
            <w:r>
              <w:rPr>
                <w:rFonts w:ascii="Calibri" w:hAnsi="Calibri"/>
                <w:b/>
                <w:color w:val="1E293B"/>
                <w:sz w:val="19"/>
              </w:rPr>
              <w:t>Edition Disambiguation</w:t>
            </w:r>
          </w:p>
        </w:tc>
        <w:tc>
          <w:tcPr>
            <w:tcW w:type="dxa" w:w="3120"/>
            <w:shd w:fill="F8FAFC"/>
            <w:tcMar>
              <w:top w:w="80" w:type="dxa"/>
              <w:bottom w:w="80" w:type="dxa"/>
              <w:left w:w="120" w:type="dxa"/>
              <w:right w:w="120" w:type="dxa"/>
            </w:tcMar>
          </w:tcPr>
          <w:p>
            <w:r>
              <w:rPr>
                <w:rFonts w:ascii="Calibri" w:hAnsi="Calibri"/>
                <w:color w:val="1E293B"/>
                <w:sz w:val="19"/>
              </w:rPr>
              <w:t>Heuristically guesses the highest commercial tier, causing false compliance deficits.</w:t>
            </w:r>
          </w:p>
        </w:tc>
        <w:tc>
          <w:tcPr>
            <w:tcW w:type="dxa" w:w="3120"/>
            <w:shd w:fill="F8FAFC"/>
            <w:tcMar>
              <w:top w:w="80" w:type="dxa"/>
              <w:bottom w:w="80" w:type="dxa"/>
              <w:left w:w="120" w:type="dxa"/>
              <w:right w:w="120" w:type="dxa"/>
            </w:tcMar>
          </w:tcPr>
          <w:p>
            <w:r>
              <w:rPr>
                <w:rFonts w:ascii="Calibri" w:hAnsi="Calibri"/>
                <w:color w:val="1E293B"/>
                <w:sz w:val="19"/>
              </w:rPr>
              <w:t>Assigns `EDITION_AMBIGUOUS` and flags for review whenever metadata is inconclusive.</w:t>
            </w:r>
          </w:p>
        </w:tc>
      </w:tr>
      <w:tr>
        <w:tc>
          <w:tcPr>
            <w:tcW w:type="dxa" w:w="3120"/>
            <w:shd w:fill="FFFFFF"/>
            <w:tcMar>
              <w:top w:w="80" w:type="dxa"/>
              <w:bottom w:w="80" w:type="dxa"/>
              <w:left w:w="120" w:type="dxa"/>
              <w:right w:w="120" w:type="dxa"/>
            </w:tcMar>
          </w:tcPr>
          <w:p>
            <w:r>
              <w:rPr>
                <w:rFonts w:ascii="Calibri" w:hAnsi="Calibri"/>
                <w:b/>
                <w:color w:val="1E293B"/>
                <w:sz w:val="19"/>
              </w:rPr>
              <w:t>Version Inflection</w:t>
            </w:r>
          </w:p>
        </w:tc>
        <w:tc>
          <w:tcPr>
            <w:tcW w:type="dxa" w:w="3120"/>
            <w:shd w:fill="FFFFFF"/>
            <w:tcMar>
              <w:top w:w="80" w:type="dxa"/>
              <w:bottom w:w="80" w:type="dxa"/>
              <w:left w:w="120" w:type="dxa"/>
              <w:right w:w="120" w:type="dxa"/>
            </w:tcMar>
          </w:tcPr>
          <w:p>
            <w:r>
              <w:rPr>
                <w:rFonts w:ascii="Calibri" w:hAnsi="Calibri"/>
                <w:color w:val="1E293B"/>
                <w:sz w:val="19"/>
              </w:rPr>
              <w:t>Relies on manually maintained bundle rules; often misses version-level licensing shifts.</w:t>
            </w:r>
          </w:p>
        </w:tc>
        <w:tc>
          <w:tcPr>
            <w:tcW w:type="dxa" w:w="3120"/>
            <w:shd w:fill="FFFFFF"/>
            <w:tcMar>
              <w:top w:w="80" w:type="dxa"/>
              <w:bottom w:w="80" w:type="dxa"/>
              <w:left w:w="120" w:type="dxa"/>
              <w:right w:w="120" w:type="dxa"/>
            </w:tcMar>
          </w:tcPr>
          <w:p>
            <w:r>
              <w:rPr>
                <w:rFonts w:ascii="Calibri" w:hAnsi="Calibri"/>
                <w:color w:val="1E293B"/>
                <w:sz w:val="19"/>
              </w:rPr>
              <w:t>Automated version inflection handles licensing flips (Docker, Oracle Java 8u202, Redis).</w:t>
            </w:r>
          </w:p>
        </w:tc>
      </w:tr>
      <w:tr>
        <w:tc>
          <w:tcPr>
            <w:tcW w:type="dxa" w:w="3120"/>
            <w:shd w:fill="F8FAFC"/>
            <w:tcMar>
              <w:top w:w="80" w:type="dxa"/>
              <w:bottom w:w="80" w:type="dxa"/>
              <w:left w:w="120" w:type="dxa"/>
              <w:right w:w="120" w:type="dxa"/>
            </w:tcMar>
          </w:tcPr>
          <w:p>
            <w:r>
              <w:rPr>
                <w:rFonts w:ascii="Calibri" w:hAnsi="Calibri"/>
                <w:b/>
                <w:color w:val="1E293B"/>
                <w:sz w:val="19"/>
              </w:rPr>
              <w:t>Footprint</w:t>
            </w:r>
          </w:p>
        </w:tc>
        <w:tc>
          <w:tcPr>
            <w:tcW w:type="dxa" w:w="3120"/>
            <w:shd w:fill="F8FAFC"/>
            <w:tcMar>
              <w:top w:w="80" w:type="dxa"/>
              <w:bottom w:w="80" w:type="dxa"/>
              <w:left w:w="120" w:type="dxa"/>
              <w:right w:w="120" w:type="dxa"/>
            </w:tcMar>
          </w:tcPr>
          <w:p>
            <w:r>
              <w:rPr>
                <w:rFonts w:ascii="Calibri" w:hAnsi="Calibri"/>
                <w:color w:val="1E293B"/>
                <w:sz w:val="19"/>
              </w:rPr>
              <w:t>Heavy server infrastructure (SQL Server cluster, Inventory Master, Snow Agents).</w:t>
            </w:r>
          </w:p>
        </w:tc>
        <w:tc>
          <w:tcPr>
            <w:tcW w:type="dxa" w:w="3120"/>
            <w:shd w:fill="F8FAFC"/>
            <w:tcMar>
              <w:top w:w="80" w:type="dxa"/>
              <w:bottom w:w="80" w:type="dxa"/>
              <w:left w:w="120" w:type="dxa"/>
              <w:right w:w="120" w:type="dxa"/>
            </w:tcMar>
          </w:tcPr>
          <w:p>
            <w:r>
              <w:rPr>
                <w:rFonts w:ascii="Calibri" w:hAnsi="Calibri"/>
                <w:color w:val="1E293B"/>
                <w:sz w:val="19"/>
              </w:rPr>
              <w:t>Lightweight, cloud-native Python/FastAPI/SQLite footprint running standalone or via API.</w:t>
            </w:r>
          </w:p>
        </w:tc>
      </w:tr>
    </w:tbl>
    <w:p>
      <w:pPr>
        <w:spacing w:after="3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