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0F2043"/>
          <w:sz w:val="52"/>
        </w:rPr>
        <w:t>Licensing Intelligence &amp; Web Harvester Engine</w:t>
      </w:r>
    </w:p>
    <w:p>
      <w:pPr>
        <w:spacing w:before="0" w:after="320"/>
      </w:pPr>
      <w:r>
        <w:rPr>
          <w:rFonts w:ascii="Calibri" w:hAnsi="Calibri"/>
          <w:color w:val="0E7490"/>
          <w:sz w:val="26"/>
        </w:rPr>
        <w:t>Deep Technical Architecture: Crawlers, SearXNG, WebCollector, Legal Ingestion &amp; Python Consensus Logic</w:t>
      </w:r>
    </w:p>
    <w:tbl>
      <w:tblPr>
        <w:tblW w:type="auto" w:w="0"/>
        <w:jc w:val="center"/>
        <w:tblLook w:firstColumn="1" w:firstRow="1" w:lastColumn="0" w:lastRow="0" w:noHBand="0" w:noVBand="1" w:val="04A0"/>
      </w:tblPr>
      <w:tblGrid>
        <w:gridCol w:w="4680"/>
        <w:gridCol w:w="4680"/>
      </w:tblGrid>
      <w:tr>
        <w:tc>
          <w:tcPr>
            <w:tcW w:type="dxa" w:w="3168"/>
            <w:shd w:fill="F8FAFC"/>
          </w:tcPr>
          <w:p>
            <w:r>
              <w:rPr>
                <w:rFonts w:ascii="Calibri" w:hAnsi="Calibri"/>
                <w:b/>
                <w:color w:val="0F2043"/>
                <w:sz w:val="19"/>
              </w:rPr>
              <w:t>Focus Area:</w:t>
            </w:r>
          </w:p>
        </w:tc>
        <w:tc>
          <w:tcPr>
            <w:tcW w:type="dxa" w:w="6192"/>
            <w:shd w:fill="FFFFFF"/>
          </w:tcPr>
          <w:p>
            <w:r>
              <w:rPr>
                <w:rFonts w:ascii="Calibri" w:hAnsi="Calibri"/>
                <w:color w:val="1E293B"/>
                <w:sz w:val="19"/>
              </w:rPr>
              <w:t>Core Licensing Engine, Web Discovery, Crawling, Text Mining &amp; Consensus</w:t>
            </w:r>
          </w:p>
        </w:tc>
      </w:tr>
      <w:tr>
        <w:tc>
          <w:tcPr>
            <w:tcW w:type="dxa" w:w="3168"/>
            <w:shd w:fill="F8FAFC"/>
          </w:tcPr>
          <w:p>
            <w:r>
              <w:rPr>
                <w:rFonts w:ascii="Calibri" w:hAnsi="Calibri"/>
                <w:b/>
                <w:color w:val="0F2043"/>
                <w:sz w:val="19"/>
              </w:rPr>
              <w:t>Excluded Domains:</w:t>
            </w:r>
          </w:p>
        </w:tc>
        <w:tc>
          <w:tcPr>
            <w:tcW w:type="dxa" w:w="6192"/>
            <w:shd w:fill="FFFFFF"/>
          </w:tcPr>
          <w:p>
            <w:r>
              <w:rPr>
                <w:rFonts w:ascii="Calibri" w:hAnsi="Calibri"/>
                <w:color w:val="1E293B"/>
                <w:sz w:val="19"/>
              </w:rPr>
              <w:t>Host System Scanners, Operating System Registry, Database/SQLite Storage</w:t>
            </w:r>
          </w:p>
        </w:tc>
      </w:tr>
      <w:tr>
        <w:tc>
          <w:tcPr>
            <w:tcW w:type="dxa" w:w="3168"/>
            <w:shd w:fill="F8FAFC"/>
          </w:tcPr>
          <w:p>
            <w:r>
              <w:rPr>
                <w:rFonts w:ascii="Calibri" w:hAnsi="Calibri"/>
                <w:b/>
                <w:color w:val="0F2043"/>
                <w:sz w:val="19"/>
              </w:rPr>
              <w:t>Target Audience:</w:t>
            </w:r>
          </w:p>
        </w:tc>
        <w:tc>
          <w:tcPr>
            <w:tcW w:type="dxa" w:w="6192"/>
            <w:shd w:fill="FFFFFF"/>
          </w:tcPr>
          <w:p>
            <w:r>
              <w:rPr>
                <w:rFonts w:ascii="Calibri" w:hAnsi="Calibri"/>
                <w:color w:val="1E293B"/>
                <w:sz w:val="19"/>
              </w:rPr>
              <w:t>Senior Software Engineers, Python Backend Architects, Technical Leads</w:t>
            </w:r>
          </w:p>
        </w:tc>
      </w:tr>
      <w:tr>
        <w:tc>
          <w:tcPr>
            <w:tcW w:type="dxa" w:w="3168"/>
            <w:shd w:fill="F8FAFC"/>
          </w:tcPr>
          <w:p>
            <w:r>
              <w:rPr>
                <w:rFonts w:ascii="Calibri" w:hAnsi="Calibri"/>
                <w:b/>
                <w:color w:val="0F2043"/>
                <w:sz w:val="19"/>
              </w:rPr>
              <w:t>Architecture Version:</w:t>
            </w:r>
          </w:p>
        </w:tc>
        <w:tc>
          <w:tcPr>
            <w:tcW w:type="dxa" w:w="6192"/>
            <w:shd w:fill="FFFFFF"/>
          </w:tcPr>
          <w:p>
            <w:r>
              <w:rPr>
                <w:rFonts w:ascii="Calibri" w:hAnsi="Calibri"/>
                <w:color w:val="1E293B"/>
                <w:sz w:val="19"/>
              </w:rPr>
              <w:t>Production Engine v2.4 (Zero-Hallucination Legal Consensus)</w:t>
            </w:r>
          </w:p>
        </w:tc>
      </w:tr>
    </w:tbl>
    <w:p>
      <w:pPr>
        <w:spacing w:after="240"/>
      </w:pPr>
    </w:p>
    <w:p>
      <w:pPr>
        <w:keepNext/>
        <w:spacing w:before="360" w:after="120"/>
      </w:pPr>
      <w:r>
        <w:rPr>
          <w:rFonts w:ascii="Calibri" w:hAnsi="Calibri"/>
          <w:b/>
          <w:color w:val="0F2043"/>
          <w:sz w:val="34"/>
        </w:rPr>
        <w:t>1. How Licensing Intelligence Actually Works: The Complete Flow</w:t>
      </w:r>
    </w:p>
    <w:p>
      <w:pPr>
        <w:spacing w:before="0" w:after="80" w:line="276" w:lineRule="auto"/>
      </w:pPr>
      <w:r>
        <w:rPr>
          <w:rFonts w:ascii="Calibri" w:hAnsi="Calibri"/>
          <w:i w:val="0"/>
          <w:color w:val="1E293B"/>
          <w:sz w:val="20"/>
        </w:rPr>
        <w:t>The licensing subsystem does not guess, assume, or hallucinate commercial rules. It determines software licensing by treating legal verification as an evidence-collection and consensus problem. When an application enters the licensing engine, Python executes the following deterministic workflow:</w:t>
      </w:r>
    </w:p>
    <w:p>
      <w:pPr>
        <w:pStyle w:val="ListBullet"/>
        <w:spacing w:before="20" w:after="60" w:line="276" w:lineRule="auto"/>
      </w:pPr>
      <w:r>
        <w:rPr>
          <w:rFonts w:ascii="Calibri" w:hAnsi="Calibri"/>
          <w:b/>
          <w:color w:val="0F2043"/>
          <w:sz w:val="19"/>
        </w:rPr>
        <w:t xml:space="preserve">Step 1: Identity &amp; Query Formulation: </w:t>
      </w:r>
      <w:r>
        <w:rPr>
          <w:rFonts w:ascii="Calibri" w:hAnsi="Calibri"/>
          <w:color w:val="1E293B"/>
          <w:sz w:val="19"/>
        </w:rPr>
        <w:t>Constructs precision search dorks targeting legal, pricing, and licensing terms using normalized product tokens and legal keywords.</w:t>
      </w:r>
    </w:p>
    <w:p>
      <w:pPr>
        <w:pStyle w:val="ListBullet"/>
        <w:spacing w:before="20" w:after="60" w:line="276" w:lineRule="auto"/>
      </w:pPr>
      <w:r>
        <w:rPr>
          <w:rFonts w:ascii="Calibri" w:hAnsi="Calibri"/>
          <w:b/>
          <w:color w:val="0F2043"/>
          <w:sz w:val="19"/>
        </w:rPr>
        <w:t xml:space="preserve">Step 2: Multi-Engine Query Cascade: </w:t>
      </w:r>
      <w:r>
        <w:rPr>
          <w:rFonts w:ascii="Calibri" w:hAnsi="Calibri"/>
          <w:color w:val="1E293B"/>
          <w:sz w:val="19"/>
        </w:rPr>
        <w:t>Queries SearXNG -&gt; YaCy -&gt; DuckDuckGo HTML scraper with microsecond circuit breakers to retrieve candidate URLs.</w:t>
      </w:r>
    </w:p>
    <w:p>
      <w:pPr>
        <w:pStyle w:val="ListBullet"/>
        <w:spacing w:before="20" w:after="60" w:line="276" w:lineRule="auto"/>
      </w:pPr>
      <w:r>
        <w:rPr>
          <w:rFonts w:ascii="Calibri" w:hAnsi="Calibri"/>
          <w:b/>
          <w:color w:val="0F2043"/>
          <w:sz w:val="19"/>
        </w:rPr>
        <w:t xml:space="preserve">Step 3: Domain Guardrail &amp; Identity Matching: </w:t>
      </w:r>
      <w:r>
        <w:rPr>
          <w:rFonts w:ascii="Calibri" w:hAnsi="Calibri"/>
          <w:color w:val="1E293B"/>
          <w:sz w:val="19"/>
        </w:rPr>
        <w:t>Validates candidate URLs against official vendor domain lists, subdomains, and strict keyword identity checks to reject forum blogs or scraper farms.</w:t>
      </w:r>
    </w:p>
    <w:p>
      <w:pPr>
        <w:pStyle w:val="ListBullet"/>
        <w:spacing w:before="20" w:after="60" w:line="276" w:lineRule="auto"/>
      </w:pPr>
      <w:r>
        <w:rPr>
          <w:rFonts w:ascii="Calibri" w:hAnsi="Calibri"/>
          <w:b/>
          <w:color w:val="0F2043"/>
          <w:sz w:val="19"/>
        </w:rPr>
        <w:t xml:space="preserve">Step 4: Web Ingestion &amp; SPA Rendering: </w:t>
      </w:r>
      <w:r>
        <w:rPr>
          <w:rFonts w:ascii="Calibri" w:hAnsi="Calibri"/>
          <w:color w:val="1E293B"/>
          <w:sz w:val="19"/>
        </w:rPr>
        <w:t>WebCollector retrieves the page via HTTP, detects client-side JavaScript shells, and falls back to a headless browser if dynamic rendering is required.</w:t>
      </w:r>
    </w:p>
    <w:p>
      <w:pPr>
        <w:pStyle w:val="ListBullet"/>
        <w:spacing w:before="20" w:after="60" w:line="276" w:lineRule="auto"/>
      </w:pPr>
      <w:r>
        <w:rPr>
          <w:rFonts w:ascii="Calibri" w:hAnsi="Calibri"/>
          <w:b/>
          <w:color w:val="0F2043"/>
          <w:sz w:val="19"/>
        </w:rPr>
        <w:t xml:space="preserve">Step 5: Content Extraction &amp; Table Parsing: </w:t>
      </w:r>
      <w:r>
        <w:rPr>
          <w:rFonts w:ascii="Calibri" w:hAnsi="Calibri"/>
          <w:color w:val="1E293B"/>
          <w:sz w:val="19"/>
        </w:rPr>
        <w:t>Trafilatura and BeautifulSoup strip navigation headers, banners, and ads, extracting pristine text and Markdown pricing matrices.</w:t>
      </w:r>
    </w:p>
    <w:p>
      <w:pPr>
        <w:pStyle w:val="ListBullet"/>
        <w:spacing w:before="20" w:after="60" w:line="276" w:lineRule="auto"/>
      </w:pPr>
      <w:r>
        <w:rPr>
          <w:rFonts w:ascii="Calibri" w:hAnsi="Calibri"/>
          <w:b/>
          <w:color w:val="0F2043"/>
          <w:sz w:val="19"/>
        </w:rPr>
        <w:t xml:space="preserve">Step 6: PDF Whitepaper Harvesting: </w:t>
      </w:r>
      <w:r>
        <w:rPr>
          <w:rFonts w:ascii="Calibri" w:hAnsi="Calibri"/>
          <w:color w:val="1E293B"/>
          <w:sz w:val="19"/>
        </w:rPr>
        <w:t>If the vendor links a licensing guide or EULA PDF, PyMuPDF parses the document directly into structured text.</w:t>
      </w:r>
    </w:p>
    <w:p>
      <w:pPr>
        <w:pStyle w:val="ListBullet"/>
        <w:spacing w:before="20" w:after="60" w:line="276" w:lineRule="auto"/>
      </w:pPr>
      <w:r>
        <w:rPr>
          <w:rFonts w:ascii="Calibri" w:hAnsi="Calibri"/>
          <w:b/>
          <w:color w:val="0F2043"/>
          <w:sz w:val="19"/>
        </w:rPr>
        <w:t xml:space="preserve">Step 7: Evidence Extraction &amp; Threshold Triggering: </w:t>
      </w:r>
      <w:r>
        <w:rPr>
          <w:rFonts w:ascii="Calibri" w:hAnsi="Calibri"/>
          <w:color w:val="1E293B"/>
          <w:sz w:val="19"/>
        </w:rPr>
        <w:t>Python regex engines match commercial pricing thresholds, Named User vs Device constraints, and open-source terms.</w:t>
      </w:r>
    </w:p>
    <w:p>
      <w:pPr>
        <w:pStyle w:val="ListBullet"/>
        <w:spacing w:before="20" w:after="60" w:line="276" w:lineRule="auto"/>
      </w:pPr>
      <w:r>
        <w:rPr>
          <w:rFonts w:ascii="Calibri" w:hAnsi="Calibri"/>
          <w:b/>
          <w:color w:val="0F2043"/>
          <w:sz w:val="19"/>
        </w:rPr>
        <w:t xml:space="preserve">Step 8: Multi-Source Consensus Synthesis: </w:t>
      </w:r>
      <w:r>
        <w:rPr>
          <w:rFonts w:ascii="Calibri" w:hAnsi="Calibri"/>
          <w:color w:val="1E293B"/>
          <w:sz w:val="19"/>
        </w:rPr>
        <w:t>The Consensus Engine cross-references WinGet manifests, baseline catalog rules, and web evidence to finalize the canonical product, vendor, edition, metric, and SPDX license.</w:t>
      </w:r>
    </w:p>
    <w:p>
      <w:pPr>
        <w:pStyle w:val="ListBullet"/>
        <w:spacing w:before="20" w:after="60" w:line="276" w:lineRule="auto"/>
      </w:pPr>
      <w:r>
        <w:rPr>
          <w:rFonts w:ascii="Calibri" w:hAnsi="Calibri"/>
          <w:b/>
          <w:color w:val="0F2043"/>
          <w:sz w:val="19"/>
        </w:rPr>
        <w:t xml:space="preserve">Step 9: Reliability Scoring &amp; Validation: </w:t>
      </w:r>
      <w:r>
        <w:rPr>
          <w:rFonts w:ascii="Calibri" w:hAnsi="Calibri"/>
          <w:color w:val="1E293B"/>
          <w:sz w:val="19"/>
        </w:rPr>
        <w:t>Assigns a 0–100% reliability score. If evidence is missing or ambiguous, routes to Tier 4 review rather than guessing.</w:t>
      </w:r>
    </w:p>
    <w:p>
      <w:pPr>
        <w:keepNext/>
        <w:spacing w:before="360" w:after="120"/>
      </w:pPr>
      <w:r>
        <w:rPr>
          <w:rFonts w:ascii="Calibri" w:hAnsi="Calibri"/>
          <w:b/>
          <w:color w:val="0F2043"/>
          <w:sz w:val="34"/>
        </w:rPr>
        <w:t>2. Search Engine Cascade &amp; Query Formulation</w:t>
      </w:r>
    </w:p>
    <w:p>
      <w:pPr>
        <w:spacing w:before="0" w:after="80" w:line="276" w:lineRule="auto"/>
      </w:pPr>
      <w:r>
        <w:rPr>
          <w:rFonts w:ascii="Calibri" w:hAnsi="Calibri"/>
          <w:i w:val="0"/>
          <w:color w:val="1E293B"/>
          <w:sz w:val="20"/>
        </w:rPr>
        <w:t>To find the exact EULA or commercial pricing page without getting blocked or hitting dead ends, Python orchestrates a multi-engine fallback cascade (`SearchEngineChain`):</w:t>
      </w:r>
    </w:p>
    <w:p>
      <w:pPr>
        <w:keepNext/>
        <w:spacing w:before="240" w:after="80"/>
      </w:pPr>
      <w:r>
        <w:rPr>
          <w:rFonts w:ascii="Calibri" w:hAnsi="Calibri"/>
          <w:b/>
          <w:color w:val="0E7490"/>
          <w:sz w:val="26"/>
        </w:rPr>
        <w:t>2.1. Dynamic Query Formulation (`query_builder.py`)</w:t>
      </w:r>
    </w:p>
    <w:p>
      <w:pPr>
        <w:spacing w:before="0" w:after="80" w:line="276" w:lineRule="auto"/>
      </w:pPr>
      <w:r>
        <w:rPr>
          <w:rFonts w:ascii="Calibri" w:hAnsi="Calibri"/>
          <w:i w:val="0"/>
          <w:color w:val="1E293B"/>
          <w:sz w:val="20"/>
        </w:rPr>
        <w:t>Rather than generic searches like 'is app free', Python constructs targeted dorks designed to hit legal portals directly:</w:t>
      </w:r>
    </w:p>
    <w:p>
      <w:pPr>
        <w:pStyle w:val="ListBullet"/>
        <w:spacing w:before="20" w:after="60" w:line="276" w:lineRule="auto"/>
      </w:pPr>
      <w:r>
        <w:rPr>
          <w:rFonts w:ascii="Calibri" w:hAnsi="Calibri"/>
          <w:b/>
          <w:color w:val="0F2043"/>
          <w:sz w:val="19"/>
        </w:rPr>
        <w:t xml:space="preserve">Vendor-Attributed Query: </w:t>
      </w:r>
      <w:r>
        <w:rPr>
          <w:rFonts w:ascii="Calibri" w:hAnsi="Calibri"/>
          <w:color w:val="1E293B"/>
          <w:sz w:val="19"/>
        </w:rPr>
        <w:t>`f"{raw_app} {raw_vend} commercial license requirements availability pricing terms"`</w:t>
      </w:r>
    </w:p>
    <w:p>
      <w:pPr>
        <w:pStyle w:val="ListBullet"/>
        <w:spacing w:before="20" w:after="60" w:line="276" w:lineRule="auto"/>
      </w:pPr>
      <w:r>
        <w:rPr>
          <w:rFonts w:ascii="Calibri" w:hAnsi="Calibri"/>
          <w:b/>
          <w:color w:val="0F2043"/>
          <w:sz w:val="19"/>
        </w:rPr>
        <w:t xml:space="preserve">EULA Deep Link Query: </w:t>
      </w:r>
      <w:r>
        <w:rPr>
          <w:rFonts w:ascii="Calibri" w:hAnsi="Calibri"/>
          <w:color w:val="1E293B"/>
          <w:sz w:val="19"/>
        </w:rPr>
        <w:t>`f"{raw_app} {raw_vend} end user license agreement EULA filetype:pdf OR site:vendor.com/legal"`</w:t>
      </w:r>
    </w:p>
    <w:p>
      <w:pPr>
        <w:pStyle w:val="ListBullet"/>
        <w:spacing w:before="20" w:after="60" w:line="276" w:lineRule="auto"/>
      </w:pPr>
      <w:r>
        <w:rPr>
          <w:rFonts w:ascii="Calibri" w:hAnsi="Calibri"/>
          <w:b/>
          <w:color w:val="0F2043"/>
          <w:sz w:val="19"/>
        </w:rPr>
        <w:t xml:space="preserve">Stop-Word Filtering: </w:t>
      </w:r>
      <w:r>
        <w:rPr>
          <w:rFonts w:ascii="Calibri" w:hAnsi="Calibri"/>
          <w:color w:val="1E293B"/>
          <w:sz w:val="19"/>
        </w:rPr>
        <w:t>Strips generic installer words (`installer`, `setup`, `x64`, `64-bit`, `v1.0`, `patch`) so search engines index product family terms instead of machine build strings.</w:t>
      </w:r>
    </w:p>
    <w:p>
      <w:pPr>
        <w:keepNext/>
        <w:spacing w:before="240" w:after="80"/>
      </w:pPr>
      <w:r>
        <w:rPr>
          <w:rFonts w:ascii="Calibri" w:hAnsi="Calibri"/>
          <w:b/>
          <w:color w:val="0E7490"/>
          <w:sz w:val="26"/>
        </w:rPr>
        <w:t>2.2. The 3-Engine Fallback Sequence (`chain.py`)</w:t>
      </w:r>
    </w:p>
    <w:p>
      <w:pPr>
        <w:spacing w:before="0" w:after="80" w:line="276" w:lineRule="auto"/>
      </w:pPr>
      <w:r>
        <w:rPr>
          <w:rFonts w:ascii="Calibri" w:hAnsi="Calibri"/>
          <w:i w:val="0"/>
          <w:color w:val="1E293B"/>
          <w:sz w:val="20"/>
        </w:rPr>
        <w:t>The search chain coordinates three distinct engine types, guarded by automated circuit breakers:</w:t>
      </w:r>
    </w:p>
    <w:p>
      <w:pPr>
        <w:pStyle w:val="ListBullet"/>
        <w:spacing w:before="20" w:after="60" w:line="276" w:lineRule="auto"/>
      </w:pPr>
      <w:r>
        <w:rPr>
          <w:rFonts w:ascii="Calibri" w:hAnsi="Calibri"/>
          <w:b/>
          <w:color w:val="0F2043"/>
          <w:sz w:val="19"/>
        </w:rPr>
        <w:t xml:space="preserve">1. SearXNG (`searxng_engine.py`): </w:t>
      </w:r>
      <w:r>
        <w:rPr>
          <w:rFonts w:ascii="Calibri" w:hAnsi="Calibri"/>
          <w:color w:val="1E293B"/>
          <w:sz w:val="19"/>
        </w:rPr>
        <w:t>Self-hosted metasearch instance (port 8080). Aggregates Bing, Google, and Brave search APIs with zero telemetry. Python performs a 0.08s TCP socket probe before querying; if SearXNG is offline, the circuit breaker trips immediately with 0ms delay.</w:t>
      </w:r>
    </w:p>
    <w:p>
      <w:pPr>
        <w:pStyle w:val="ListBullet"/>
        <w:spacing w:before="20" w:after="60" w:line="276" w:lineRule="auto"/>
      </w:pPr>
      <w:r>
        <w:rPr>
          <w:rFonts w:ascii="Calibri" w:hAnsi="Calibri"/>
          <w:b/>
          <w:color w:val="0F2043"/>
          <w:sz w:val="19"/>
        </w:rPr>
        <w:t xml:space="preserve">2. YaCy (`yacy_engine.py`): </w:t>
      </w:r>
      <w:r>
        <w:rPr>
          <w:rFonts w:ascii="Calibri" w:hAnsi="Calibri"/>
          <w:color w:val="1E293B"/>
          <w:sz w:val="19"/>
        </w:rPr>
        <w:t>Decentralized P2P peer search engine (port 8090) designed for local intranet and offline legal repository crawling.</w:t>
      </w:r>
    </w:p>
    <w:p>
      <w:pPr>
        <w:pStyle w:val="ListBullet"/>
        <w:spacing w:before="20" w:after="60" w:line="276" w:lineRule="auto"/>
      </w:pPr>
      <w:r>
        <w:rPr>
          <w:rFonts w:ascii="Calibri" w:hAnsi="Calibri"/>
          <w:b/>
          <w:color w:val="0F2043"/>
          <w:sz w:val="19"/>
        </w:rPr>
        <w:t xml:space="preserve">3. DuckDuckGo Scraper (`duckduckgo_engine.py`): </w:t>
      </w:r>
      <w:r>
        <w:rPr>
          <w:rFonts w:ascii="Calibri" w:hAnsi="Calibri"/>
          <w:color w:val="1E293B"/>
          <w:sz w:val="19"/>
        </w:rPr>
        <w:t>Direct HTML scraping fallback hitting `https://html.duckduckgo.com/html/`. Uses `httpx` with tailored browser user-agents, 4s read timeouts, 1.5s connect timeouts, and automatic retry breakers on 0 results.</w:t>
      </w:r>
    </w:p>
    <w:p>
      <w:pPr>
        <w:keepNext/>
        <w:spacing w:before="360" w:after="120"/>
      </w:pPr>
      <w:r>
        <w:rPr>
          <w:rFonts w:ascii="Calibri" w:hAnsi="Calibri"/>
          <w:b/>
          <w:color w:val="0F2043"/>
          <w:sz w:val="34"/>
        </w:rPr>
        <w:t>3. Domain Guardrails: How Python Rejects Fake/Scraper Links</w:t>
      </w:r>
    </w:p>
    <w:p>
      <w:pPr>
        <w:spacing w:before="0" w:after="80" w:line="276" w:lineRule="auto"/>
      </w:pPr>
      <w:r>
        <w:rPr>
          <w:rFonts w:ascii="Calibri" w:hAnsi="Calibri"/>
          <w:i w:val="0"/>
          <w:color w:val="1E293B"/>
          <w:sz w:val="20"/>
        </w:rPr>
        <w:t>A major problem in web harvesting is that third-party forums, Reddit, or APK mirrors frequently claim software is 'free' when it is actually commercial. The engine applies two strict Python filtering algorithms before any URL is accepted as evidence:</w:t>
      </w:r>
    </w:p>
    <w:p>
      <w:pPr>
        <w:keepNext/>
        <w:spacing w:before="240" w:after="80"/>
      </w:pPr>
      <w:r>
        <w:rPr>
          <w:rFonts w:ascii="Calibri" w:hAnsi="Calibri"/>
          <w:b/>
          <w:color w:val="0E7490"/>
          <w:sz w:val="26"/>
        </w:rPr>
        <w:t>3.1. Strict Domain-to-Vendor Guardrail (`is_valid_vendor_domain`)</w:t>
      </w:r>
    </w:p>
    <w:p>
      <w:pPr>
        <w:spacing w:before="0" w:after="80" w:line="276" w:lineRule="auto"/>
      </w:pPr>
      <w:r>
        <w:rPr>
          <w:rFonts w:ascii="Calibri" w:hAnsi="Calibri"/>
          <w:i w:val="0"/>
          <w:color w:val="1E293B"/>
          <w:sz w:val="20"/>
        </w:rPr>
        <w:t>Python extracts the base domain from the URL and validates it against strict rules:</w:t>
      </w:r>
    </w:p>
    <w:p>
      <w:pPr>
        <w:pStyle w:val="ListBullet"/>
        <w:spacing w:before="20" w:after="60" w:line="276" w:lineRule="auto"/>
      </w:pPr>
      <w:r>
        <w:rPr>
          <w:rFonts w:ascii="Calibri" w:hAnsi="Calibri"/>
          <w:b/>
          <w:color w:val="0F2043"/>
          <w:sz w:val="19"/>
        </w:rPr>
        <w:t xml:space="preserve">Official Domain Whitelist: </w:t>
      </w:r>
      <w:r>
        <w:rPr>
          <w:rFonts w:ascii="Calibri" w:hAnsi="Calibri"/>
          <w:color w:val="1E293B"/>
          <w:sz w:val="19"/>
        </w:rPr>
        <w:t>Cross-references `official_domains.yaml` containing 300+ authoritative vendor root domains (`docker.com`, `jetbrains.com`, `oracle.com`, `microsoft.com`, `git-scm.com`, `mongodb.com`).</w:t>
      </w:r>
    </w:p>
    <w:p>
      <w:pPr>
        <w:pStyle w:val="ListBullet"/>
        <w:spacing w:before="20" w:after="60" w:line="276" w:lineRule="auto"/>
      </w:pPr>
      <w:r>
        <w:rPr>
          <w:rFonts w:ascii="Calibri" w:hAnsi="Calibri"/>
          <w:b/>
          <w:color w:val="0F2043"/>
          <w:sz w:val="19"/>
        </w:rPr>
        <w:t xml:space="preserve">Domain-to-Vendor Substring Matching: </w:t>
      </w:r>
      <w:r>
        <w:rPr>
          <w:rFonts w:ascii="Calibri" w:hAnsi="Calibri"/>
          <w:color w:val="1E293B"/>
          <w:sz w:val="19"/>
        </w:rPr>
        <w:t>The vendor name must be present in the domain name (e.g., if vendor is `Docker Inc.`, the domain must contain `docker.com`).</w:t>
      </w:r>
    </w:p>
    <w:p>
      <w:pPr>
        <w:pStyle w:val="ListBullet"/>
        <w:spacing w:before="20" w:after="60" w:line="276" w:lineRule="auto"/>
      </w:pPr>
      <w:r>
        <w:rPr>
          <w:rFonts w:ascii="Calibri" w:hAnsi="Calibri"/>
          <w:b/>
          <w:color w:val="0F2043"/>
          <w:sz w:val="19"/>
        </w:rPr>
        <w:t xml:space="preserve">Scraper &amp; Forum Blacklist: </w:t>
      </w:r>
      <w:r>
        <w:rPr>
          <w:rFonts w:ascii="Calibri" w:hAnsi="Calibri"/>
          <w:color w:val="1E293B"/>
          <w:sz w:val="19"/>
        </w:rPr>
        <w:t>Blacklists 50+ known aggregate sites (`softpedia.com`, `filehippo.com`, `download.cnet.com`, `reddit.com`, `stackoverflow.com`, `wikipedia.org`). These sites are never allowed to provide commercial evidence.</w:t>
      </w:r>
    </w:p>
    <w:p>
      <w:pPr>
        <w:pStyle w:val="ListBullet"/>
        <w:spacing w:before="20" w:after="60" w:line="276" w:lineRule="auto"/>
      </w:pPr>
      <w:r>
        <w:rPr>
          <w:rFonts w:ascii="Calibri" w:hAnsi="Calibri"/>
          <w:b/>
          <w:color w:val="0F2043"/>
          <w:sz w:val="19"/>
        </w:rPr>
        <w:t xml:space="preserve">Negative Keyword Safeguard: </w:t>
      </w:r>
      <w:r>
        <w:rPr>
          <w:rFonts w:ascii="Calibri" w:hAnsi="Calibri"/>
          <w:color w:val="1E293B"/>
          <w:sz w:val="19"/>
        </w:rPr>
        <w:t>Rejects URL paths where product names clash (e.g., rejecting `sql-server` URLs when evaluating general `SQL`, or rejecting `acrobatpro` when evaluating `Adobe Reader`).</w:t>
      </w:r>
    </w:p>
    <w:p>
      <w:pPr>
        <w:keepNext/>
        <w:spacing w:before="240" w:after="80"/>
      </w:pPr>
      <w:r>
        <w:rPr>
          <w:rFonts w:ascii="Calibri" w:hAnsi="Calibri"/>
          <w:b/>
          <w:color w:val="0E7490"/>
          <w:sz w:val="26"/>
        </w:rPr>
        <w:t>3.2. Application Identity Matcher (`matches_application_identity`)</w:t>
      </w:r>
    </w:p>
    <w:p>
      <w:pPr>
        <w:spacing w:before="0" w:after="80" w:line="276" w:lineRule="auto"/>
      </w:pPr>
      <w:r>
        <w:rPr>
          <w:rFonts w:ascii="Calibri" w:hAnsi="Calibri"/>
          <w:i w:val="0"/>
          <w:color w:val="1E293B"/>
          <w:sz w:val="20"/>
        </w:rPr>
        <w:t>Even on an official vendor domain (e.g., `microsoft.com`), the page could be about a totally different product (e.g., Windows 11 instead of Microsoft Visio). Python tokenizes the application name, discards generic stop-words (`tool`, `desktop`, `client`, `utility`), and executes a strict word-boundary regex (`\btoken\b`) across the title, snippet, and URL. If the specific product token is not present in the URL or snippet, the link is discarded immediately.</w:t>
      </w:r>
    </w:p>
    <w:p>
      <w:pPr>
        <w:keepNext/>
        <w:spacing w:before="360" w:after="120"/>
      </w:pPr>
      <w:r>
        <w:rPr>
          <w:rFonts w:ascii="Calibri" w:hAnsi="Calibri"/>
          <w:b/>
          <w:color w:val="0F2043"/>
          <w:sz w:val="34"/>
        </w:rPr>
        <w:t>4. WebCollector: How Python Scrapes and Cleans Web Pages</w:t>
      </w:r>
    </w:p>
    <w:p>
      <w:pPr>
        <w:spacing w:before="0" w:after="80" w:line="276" w:lineRule="auto"/>
      </w:pPr>
      <w:r>
        <w:rPr>
          <w:rFonts w:ascii="Calibri" w:hAnsi="Calibri"/>
          <w:i w:val="0"/>
          <w:color w:val="1E293B"/>
          <w:sz w:val="20"/>
        </w:rPr>
        <w:t>`WebCollector` (`backend/collectors/web/web_collector.py`) is the web ingestion framework. It converts messy, dynamic HTML into clean Markdown and structured tables for legal analysis:</w:t>
      </w:r>
    </w:p>
    <w:p>
      <w:pPr>
        <w:keepNext/>
        <w:spacing w:before="240" w:after="80"/>
      </w:pPr>
      <w:r>
        <w:rPr>
          <w:rFonts w:ascii="Calibri" w:hAnsi="Calibri"/>
          <w:b/>
          <w:color w:val="0E7490"/>
          <w:sz w:val="26"/>
        </w:rPr>
        <w:t>4.1. Safe HTTP Retrieval (`http_client.py` &amp; `url_policy.py`)</w:t>
      </w:r>
    </w:p>
    <w:p>
      <w:pPr>
        <w:spacing w:before="0" w:after="80" w:line="276" w:lineRule="auto"/>
      </w:pPr>
      <w:r>
        <w:rPr>
          <w:rFonts w:ascii="Calibri" w:hAnsi="Calibri"/>
          <w:i w:val="0"/>
          <w:color w:val="1E293B"/>
          <w:sz w:val="20"/>
        </w:rPr>
        <w:t>Executes requests with strict security and politeness rules: blocks private IP ranges (SSRF protection), enforces 10-second request timeouts, respects HTTP 301/302 redirects, and records headers, status codes, and final redirected domains.</w:t>
      </w:r>
    </w:p>
    <w:p>
      <w:pPr>
        <w:keepNext/>
        <w:spacing w:before="240" w:after="80"/>
      </w:pPr>
      <w:r>
        <w:rPr>
          <w:rFonts w:ascii="Calibri" w:hAnsi="Calibri"/>
          <w:b/>
          <w:color w:val="0E7490"/>
          <w:sz w:val="26"/>
        </w:rPr>
        <w:t>4.2. Headless Browser SPA Rendering (`headless_renderer.py`)</w:t>
      </w:r>
    </w:p>
    <w:p>
      <w:pPr>
        <w:spacing w:before="0" w:after="80" w:line="276" w:lineRule="auto"/>
      </w:pPr>
      <w:r>
        <w:rPr>
          <w:rFonts w:ascii="Calibri" w:hAnsi="Calibri"/>
          <w:i w:val="0"/>
          <w:color w:val="1E293B"/>
          <w:sz w:val="20"/>
        </w:rPr>
        <w:t>Many modern vendor pricing portals (e.g., Atlassian, Docker, JetBrains) are Single-Page Applications (SPAs) built in React, Vue, or Next.js. Standard `requests.get()` returns an empty `&lt;div id='root'&gt;&lt;/div&gt;`. Python inspects the raw HTML for SPA signatures. If detected (`is_spa_page() == True`), it dispatches Playwright to spin up a headless Chromium instance, wait for `networkidle`, and extract the fully hydrated DOM.</w:t>
      </w:r>
    </w:p>
    <w:p>
      <w:pPr>
        <w:keepNext/>
        <w:spacing w:before="240" w:after="80"/>
      </w:pPr>
      <w:r>
        <w:rPr>
          <w:rFonts w:ascii="Calibri" w:hAnsi="Calibri"/>
          <w:b/>
          <w:color w:val="0E7490"/>
          <w:sz w:val="26"/>
        </w:rPr>
        <w:t>4.3. Trafilatura Precision Extraction (`trafilatura_extractor.py`)</w:t>
      </w:r>
    </w:p>
    <w:p>
      <w:pPr>
        <w:spacing w:before="0" w:after="80" w:line="276" w:lineRule="auto"/>
      </w:pPr>
      <w:r>
        <w:rPr>
          <w:rFonts w:ascii="Calibri" w:hAnsi="Calibri"/>
          <w:i w:val="0"/>
          <w:color w:val="1E293B"/>
          <w:sz w:val="20"/>
        </w:rPr>
        <w:t>Raw HTML is filled with cookie consent banners, footers, sidebars, and navigation links that pollute licensing logic. Python uses `trafilatura`, a specialized library developed for academic text mining. Trafilatura analyzes DOM density, strips navigation boilerplate, and extracts clean, human-readable text and Markdown.</w:t>
      </w:r>
    </w:p>
    <w:p>
      <w:pPr>
        <w:keepNext/>
        <w:spacing w:before="240" w:after="80"/>
      </w:pPr>
      <w:r>
        <w:rPr>
          <w:rFonts w:ascii="Calibri" w:hAnsi="Calibri"/>
          <w:b/>
          <w:color w:val="0E7490"/>
          <w:sz w:val="26"/>
        </w:rPr>
        <w:t>4.4. Structural Table Parsing (`content_parser.py`)</w:t>
      </w:r>
    </w:p>
    <w:p>
      <w:pPr>
        <w:spacing w:before="0" w:after="80" w:line="276" w:lineRule="auto"/>
      </w:pPr>
      <w:r>
        <w:rPr>
          <w:rFonts w:ascii="Calibri" w:hAnsi="Calibri"/>
          <w:i w:val="0"/>
          <w:color w:val="1E293B"/>
          <w:sz w:val="20"/>
        </w:rPr>
        <w:t>Vendor pricing pages convey licensing tiers via HTML comparison tables. The parser iterates over `&lt;table&gt;`, `&lt;thead&gt;`, `&lt;tbody&gt;`, extracting headers and row cells. It converts these tables into Markdown format, enabling the downstream regex engine to read pricing matrices row-by-row.</w:t>
      </w:r>
    </w:p>
    <w:p>
      <w:pPr>
        <w:keepNext/>
        <w:spacing w:before="240" w:after="80"/>
      </w:pPr>
      <w:r>
        <w:rPr>
          <w:rFonts w:ascii="Calibri" w:hAnsi="Calibri"/>
          <w:b/>
          <w:color w:val="0E7490"/>
          <w:sz w:val="26"/>
        </w:rPr>
        <w:t>4.5. Sitemap, robots.txt &amp; llms.txt Crawler (`sitemap_collector.py`, `llms_txt_collector.py`)</w:t>
      </w:r>
    </w:p>
    <w:p>
      <w:pPr>
        <w:spacing w:before="0" w:after="80" w:line="276" w:lineRule="auto"/>
      </w:pPr>
      <w:r>
        <w:rPr>
          <w:rFonts w:ascii="Calibri" w:hAnsi="Calibri"/>
          <w:i w:val="0"/>
          <w:color w:val="1E293B"/>
          <w:sz w:val="20"/>
        </w:rPr>
        <w:t>When pointed at a vendor domain, Python checks two specialized discovery protocols:</w:t>
      </w:r>
    </w:p>
    <w:p>
      <w:pPr>
        <w:pStyle w:val="ListBullet"/>
        <w:spacing w:before="20" w:after="60" w:line="276" w:lineRule="auto"/>
      </w:pPr>
      <w:r>
        <w:rPr>
          <w:rFonts w:ascii="Calibri" w:hAnsi="Calibri"/>
          <w:b/>
          <w:color w:val="0F2043"/>
          <w:sz w:val="19"/>
        </w:rPr>
        <w:t xml:space="preserve">`robots.txt` &amp; Sitemap Ingestion: </w:t>
      </w:r>
      <w:r>
        <w:rPr>
          <w:rFonts w:ascii="Calibri" w:hAnsi="Calibri"/>
          <w:color w:val="1E293B"/>
          <w:sz w:val="19"/>
        </w:rPr>
        <w:t>Parses XML sitemaps looking specifically for URLs containing `/legal`, `/license`, `/terms`, `/eula`, or `/pricing`.</w:t>
      </w:r>
    </w:p>
    <w:p>
      <w:pPr>
        <w:pStyle w:val="ListBullet"/>
        <w:spacing w:before="20" w:after="60" w:line="276" w:lineRule="auto"/>
      </w:pPr>
      <w:r>
        <w:rPr>
          <w:rFonts w:ascii="Calibri" w:hAnsi="Calibri"/>
          <w:b/>
          <w:color w:val="0F2043"/>
          <w:sz w:val="19"/>
        </w:rPr>
        <w:t xml:space="preserve">`llms.txt` Probing: </w:t>
      </w:r>
      <w:r>
        <w:rPr>
          <w:rFonts w:ascii="Calibri" w:hAnsi="Calibri"/>
          <w:color w:val="1E293B"/>
          <w:sz w:val="19"/>
        </w:rPr>
        <w:t>Checks for modern `/llms.txt` and `/llms-full.txt` files. Vendors like Anthropic, Cursor, and Cloudflare publish these files specifically to provide clean, un-obfuscated documentation links to AI systems.</w:t>
      </w:r>
    </w:p>
    <w:p>
      <w:pPr>
        <w:keepNext/>
        <w:spacing w:before="360" w:after="120"/>
      </w:pPr>
      <w:r>
        <w:rPr>
          <w:rFonts w:ascii="Calibri" w:hAnsi="Calibri"/>
          <w:b/>
          <w:color w:val="0F2043"/>
          <w:sz w:val="34"/>
        </w:rPr>
        <w:t>5. PDF Harvester: Scraping Official Licensing Whitepapers</w:t>
      </w:r>
    </w:p>
    <w:p>
      <w:pPr>
        <w:spacing w:before="0" w:after="80" w:line="276" w:lineRule="auto"/>
      </w:pPr>
      <w:r>
        <w:rPr>
          <w:rFonts w:ascii="Calibri" w:hAnsi="Calibri"/>
          <w:i w:val="0"/>
          <w:color w:val="1E293B"/>
          <w:sz w:val="20"/>
        </w:rPr>
        <w:t>Enterprise vendors (e.g., Microsoft Product Terms, Oracle Licensing Information User Manuals, IBM License Information) publish their binding legal terms in PDF format rather than standard HTML. `PdfHarvester` (`backend/collectors/web/pdf_harvester.py`) automates this extraction:</w:t>
      </w:r>
    </w:p>
    <w:p>
      <w:pPr>
        <w:pStyle w:val="ListBullet"/>
        <w:spacing w:before="20" w:after="60" w:line="276" w:lineRule="auto"/>
      </w:pPr>
      <w:r>
        <w:rPr>
          <w:rFonts w:ascii="Calibri" w:hAnsi="Calibri"/>
          <w:b/>
          <w:color w:val="0F2043"/>
          <w:sz w:val="19"/>
        </w:rPr>
        <w:t xml:space="preserve">Link Discovery: </w:t>
      </w:r>
      <w:r>
        <w:rPr>
          <w:rFonts w:ascii="Calibri" w:hAnsi="Calibri"/>
          <w:color w:val="1E293B"/>
          <w:sz w:val="19"/>
        </w:rPr>
        <w:t>Scans the scraped HTML for PDF links matching regex: `r'href=["\'](https?://[^"\']+\.pdf)["\']'` combined with legal keywords (`licensing`, `terms`, `eula`, `guide`).</w:t>
      </w:r>
    </w:p>
    <w:p>
      <w:pPr>
        <w:pStyle w:val="ListBullet"/>
        <w:spacing w:before="20" w:after="60" w:line="276" w:lineRule="auto"/>
      </w:pPr>
      <w:r>
        <w:rPr>
          <w:rFonts w:ascii="Calibri" w:hAnsi="Calibri"/>
          <w:b/>
          <w:color w:val="0F2043"/>
          <w:sz w:val="19"/>
        </w:rPr>
        <w:t xml:space="preserve">PyMuPDF Parsing (`import fitz`): </w:t>
      </w:r>
      <w:r>
        <w:rPr>
          <w:rFonts w:ascii="Calibri" w:hAnsi="Calibri"/>
          <w:color w:val="1E293B"/>
          <w:sz w:val="19"/>
        </w:rPr>
        <w:t>Downloads the PDF stream in memory and uses PyMuPDF's C-bindings to extract raw text, document metadata (Title, Author, CreationDate), and tabular layouts.</w:t>
      </w:r>
    </w:p>
    <w:p>
      <w:pPr>
        <w:pStyle w:val="ListBullet"/>
        <w:spacing w:before="20" w:after="60" w:line="276" w:lineRule="auto"/>
      </w:pPr>
      <w:r>
        <w:rPr>
          <w:rFonts w:ascii="Calibri" w:hAnsi="Calibri"/>
          <w:b/>
          <w:color w:val="0F2043"/>
          <w:sz w:val="19"/>
        </w:rPr>
        <w:t xml:space="preserve">Content Hashing &amp; Snapshot: </w:t>
      </w:r>
      <w:r>
        <w:rPr>
          <w:rFonts w:ascii="Calibri" w:hAnsi="Calibri"/>
          <w:color w:val="1E293B"/>
          <w:sz w:val="19"/>
        </w:rPr>
        <w:t>Calculates a SHA-256 hash of the extracted PDF text to detect version updates and stores a permanent raw snapshot in `data/raw/`.</w:t>
      </w:r>
    </w:p>
    <w:p>
      <w:pPr>
        <w:keepNext/>
        <w:spacing w:before="360" w:after="120"/>
      </w:pPr>
      <w:r>
        <w:rPr>
          <w:rFonts w:ascii="Calibri" w:hAnsi="Calibri"/>
          <w:b/>
          <w:color w:val="0F2043"/>
          <w:sz w:val="34"/>
        </w:rPr>
        <w:t>6. How Python Analyzes the Text to Make the Licensing Decision</w:t>
      </w:r>
    </w:p>
    <w:p>
      <w:pPr>
        <w:spacing w:before="0" w:after="80" w:line="276" w:lineRule="auto"/>
      </w:pPr>
      <w:r>
        <w:rPr>
          <w:rFonts w:ascii="Calibri" w:hAnsi="Calibri"/>
          <w:i w:val="0"/>
          <w:color w:val="1E293B"/>
          <w:sz w:val="20"/>
        </w:rPr>
        <w:t>Once the text corpus (search snippet + Trafilatura Markdown + PDF text) is assembled, Python executes a sequence of deterministic analysis engines to compute the final license parameters:</w:t>
      </w:r>
    </w:p>
    <w:p>
      <w:pPr>
        <w:keepNext/>
        <w:spacing w:before="240" w:after="80"/>
      </w:pPr>
      <w:r>
        <w:rPr>
          <w:rFonts w:ascii="Calibri" w:hAnsi="Calibri"/>
          <w:b/>
          <w:color w:val="0E7490"/>
          <w:sz w:val="26"/>
        </w:rPr>
        <w:t>6.1. Classification &amp; Keyword Pattern Matching (`searxng_evidence_validator.py`)</w:t>
      </w:r>
    </w:p>
    <w:p>
      <w:pPr>
        <w:spacing w:before="0" w:after="80" w:line="276" w:lineRule="auto"/>
      </w:pPr>
      <w:r>
        <w:rPr>
          <w:rFonts w:ascii="Calibri" w:hAnsi="Calibri"/>
          <w:i w:val="0"/>
          <w:color w:val="1E293B"/>
          <w:sz w:val="20"/>
        </w:rPr>
        <w:t>Python runs compiled regular expressions across the combined text corpus:</w:t>
      </w:r>
    </w:p>
    <w:p>
      <w:pPr>
        <w:pStyle w:val="ListBullet"/>
        <w:spacing w:before="20" w:after="60" w:line="276" w:lineRule="auto"/>
      </w:pPr>
      <w:r>
        <w:rPr>
          <w:rFonts w:ascii="Calibri" w:hAnsi="Calibri"/>
          <w:b/>
          <w:color w:val="0F2043"/>
          <w:sz w:val="19"/>
        </w:rPr>
        <w:t xml:space="preserve">Commercial Triggers: </w:t>
      </w:r>
      <w:r>
        <w:rPr>
          <w:rFonts w:ascii="Calibri" w:hAnsi="Calibri"/>
          <w:color w:val="1E293B"/>
          <w:sz w:val="19"/>
        </w:rPr>
        <w:t>`COMMERCIAL_PATTERNS`: Matches `commercial use`, `commercial license required`, `paid subscription`, `named user`, `per core`, `server + cal`, `enterprise edition`, or price tags `$\d+/user/mo`.</w:t>
      </w:r>
    </w:p>
    <w:p>
      <w:pPr>
        <w:pStyle w:val="ListBullet"/>
        <w:spacing w:before="20" w:after="60" w:line="276" w:lineRule="auto"/>
      </w:pPr>
      <w:r>
        <w:rPr>
          <w:rFonts w:ascii="Calibri" w:hAnsi="Calibri"/>
          <w:b/>
          <w:color w:val="0F2043"/>
          <w:sz w:val="19"/>
        </w:rPr>
        <w:t xml:space="preserve">Open Source Triggers: </w:t>
      </w:r>
      <w:r>
        <w:rPr>
          <w:rFonts w:ascii="Calibri" w:hAnsi="Calibri"/>
          <w:color w:val="1E293B"/>
          <w:sz w:val="19"/>
        </w:rPr>
        <w:t>`OPEN_SOURCE_PATTERNS`: Matches `mit license`, `apache 2.0`, `gpl v2/v3`, `bsd 3-clause`, `open-source`, `mozilla public license`, `psf license`, `sspl`, `server side public license`, `classpath exception`.</w:t>
      </w:r>
    </w:p>
    <w:p>
      <w:pPr>
        <w:pStyle w:val="ListBullet"/>
        <w:spacing w:before="20" w:after="60" w:line="276" w:lineRule="auto"/>
      </w:pPr>
      <w:r>
        <w:rPr>
          <w:rFonts w:ascii="Calibri" w:hAnsi="Calibri"/>
          <w:b/>
          <w:color w:val="0F2043"/>
          <w:sz w:val="19"/>
        </w:rPr>
        <w:t xml:space="preserve">Freeware Triggers: </w:t>
      </w:r>
      <w:r>
        <w:rPr>
          <w:rFonts w:ascii="Calibri" w:hAnsi="Calibri"/>
          <w:color w:val="1E293B"/>
          <w:sz w:val="19"/>
        </w:rPr>
        <w:t>`FREEWARE_PATTERNS`: Matches `freeware`, `free to use`, `free for personal use`, `free download`, `no license required`.</w:t>
      </w:r>
    </w:p>
    <w:p>
      <w:pPr>
        <w:pStyle w:val="ListBullet"/>
        <w:spacing w:before="20" w:after="60" w:line="276" w:lineRule="auto"/>
      </w:pPr>
      <w:r>
        <w:rPr>
          <w:rFonts w:ascii="Calibri" w:hAnsi="Calibri"/>
          <w:b/>
          <w:color w:val="0F2043"/>
          <w:sz w:val="19"/>
        </w:rPr>
        <w:t xml:space="preserve">OS Bundled Triggers: </w:t>
      </w:r>
      <w:r>
        <w:rPr>
          <w:rFonts w:ascii="Calibri" w:hAnsi="Calibri"/>
          <w:color w:val="1E293B"/>
          <w:sz w:val="19"/>
        </w:rPr>
        <w:t>`OS_BUNDLED_PATTERNS`: Matches `bundled with windows`, `inbox app`, `operating system component`.</w:t>
      </w:r>
    </w:p>
    <w:p>
      <w:pPr>
        <w:keepNext/>
        <w:spacing w:before="240" w:after="80"/>
      </w:pPr>
      <w:r>
        <w:rPr>
          <w:rFonts w:ascii="Calibri" w:hAnsi="Calibri"/>
          <w:b/>
          <w:color w:val="0E7490"/>
          <w:sz w:val="26"/>
        </w:rPr>
        <w:t>6.2. Version-Inflection Engine (`version_inflection_engine.py`)</w:t>
      </w:r>
    </w:p>
    <w:p>
      <w:pPr>
        <w:spacing w:before="0" w:after="80" w:line="276" w:lineRule="auto"/>
      </w:pPr>
      <w:r>
        <w:rPr>
          <w:rFonts w:ascii="Calibri" w:hAnsi="Calibri"/>
          <w:i w:val="0"/>
          <w:color w:val="1E293B"/>
          <w:sz w:val="20"/>
        </w:rPr>
        <w:t>Software vendors often flip their licensing model without renaming the executable. Python evaluates the detected software version against date- and build-aware inflection thresholds:</w:t>
      </w:r>
    </w:p>
    <w:p>
      <w:pPr>
        <w:pStyle w:val="ListBullet"/>
        <w:spacing w:before="20" w:after="60" w:line="276" w:lineRule="auto"/>
      </w:pPr>
      <w:r>
        <w:rPr>
          <w:rFonts w:ascii="Calibri" w:hAnsi="Calibri"/>
          <w:b/>
          <w:color w:val="0F2043"/>
          <w:sz w:val="19"/>
        </w:rPr>
        <w:t xml:space="preserve">Docker Desktop: </w:t>
      </w:r>
      <w:r>
        <w:rPr>
          <w:rFonts w:ascii="Calibri" w:hAnsi="Calibri"/>
          <w:color w:val="1E293B"/>
          <w:sz w:val="19"/>
        </w:rPr>
        <w:t>If version &lt; 4.3.0 -&gt; `FREEWARE`; if version &gt;= 4.3.0 -&gt; `COMMERCIAL (Per Seat Subscription)` for businesses &gt;250 employees.</w:t>
      </w:r>
    </w:p>
    <w:p>
      <w:pPr>
        <w:pStyle w:val="ListBullet"/>
        <w:spacing w:before="20" w:after="60" w:line="276" w:lineRule="auto"/>
      </w:pPr>
      <w:r>
        <w:rPr>
          <w:rFonts w:ascii="Calibri" w:hAnsi="Calibri"/>
          <w:b/>
          <w:color w:val="0F2043"/>
          <w:sz w:val="19"/>
        </w:rPr>
        <w:t xml:space="preserve">Oracle Java SE: </w:t>
      </w:r>
      <w:r>
        <w:rPr>
          <w:rFonts w:ascii="Calibri" w:hAnsi="Calibri"/>
          <w:color w:val="1E293B"/>
          <w:sz w:val="19"/>
        </w:rPr>
        <w:t>If Java 8 update &lt;= 202 -&gt; `FREEWARE (BCL)`; if update &gt; 202 (e.g. 8u491) -&gt; `COMMERCIAL (Subscription)` under OTN.</w:t>
      </w:r>
    </w:p>
    <w:p>
      <w:pPr>
        <w:pStyle w:val="ListBullet"/>
        <w:spacing w:before="20" w:after="60" w:line="276" w:lineRule="auto"/>
      </w:pPr>
      <w:r>
        <w:rPr>
          <w:rFonts w:ascii="Calibri" w:hAnsi="Calibri"/>
          <w:b/>
          <w:color w:val="0F2043"/>
          <w:sz w:val="19"/>
        </w:rPr>
        <w:t xml:space="preserve">HashiCorp Terraform: </w:t>
      </w:r>
      <w:r>
        <w:rPr>
          <w:rFonts w:ascii="Calibri" w:hAnsi="Calibri"/>
          <w:color w:val="1E293B"/>
          <w:sz w:val="19"/>
        </w:rPr>
        <w:t>If version &lt; 1.6.0 -&gt; `OPEN_SOURCE (MPL-2.0)`; if version &gt;= 1.6.0 -&gt; `COMMERCIAL / SOURCE_AVAILABLE (BSL-1.1)`.</w:t>
      </w:r>
    </w:p>
    <w:p>
      <w:pPr>
        <w:pStyle w:val="ListBullet"/>
        <w:spacing w:before="20" w:after="60" w:line="276" w:lineRule="auto"/>
      </w:pPr>
      <w:r>
        <w:rPr>
          <w:rFonts w:ascii="Calibri" w:hAnsi="Calibri"/>
          <w:b/>
          <w:color w:val="0F2043"/>
          <w:sz w:val="19"/>
        </w:rPr>
        <w:t xml:space="preserve">Redis: </w:t>
      </w:r>
      <w:r>
        <w:rPr>
          <w:rFonts w:ascii="Calibri" w:hAnsi="Calibri"/>
          <w:color w:val="1E293B"/>
          <w:sz w:val="19"/>
        </w:rPr>
        <w:t>Tracks inflection from BSD-3-Clause to dual SSPLv1/RSALv2 in modern releases.</w:t>
      </w:r>
    </w:p>
    <w:p>
      <w:pPr>
        <w:keepNext/>
        <w:spacing w:before="240" w:after="80"/>
      </w:pPr>
      <w:r>
        <w:rPr>
          <w:rFonts w:ascii="Calibri" w:hAnsi="Calibri"/>
          <w:b/>
          <w:color w:val="0E7490"/>
          <w:sz w:val="26"/>
        </w:rPr>
        <w:t>6.3. Edition Disambiguation Engine (`edition_disambiguator.py`)</w:t>
      </w:r>
    </w:p>
    <w:p>
      <w:pPr>
        <w:spacing w:before="0" w:after="80" w:line="276" w:lineRule="auto"/>
      </w:pPr>
      <w:r>
        <w:rPr>
          <w:rFonts w:ascii="Calibri" w:hAnsi="Calibri"/>
          <w:i w:val="0"/>
          <w:color w:val="1E293B"/>
          <w:sz w:val="20"/>
        </w:rPr>
        <w:t>Products like Visual Studio or IntelliJ IDEA exist in free Community and paid Enterprise editions. Python parses directory paths, registry tags, and bundle tokens: If it sees `community` or `ce`, it assigns `Community (Open Source)`; if it sees `ultimate` or `enterprise`, it assigns `Commercial`. If no conclusive edition token is present, it explicitly sets `canonical_edition = EDITION_AMBIGUOUS` and routes to Tier 4 review rather than guessing.</w:t>
      </w:r>
    </w:p>
    <w:p>
      <w:pPr>
        <w:keepNext/>
        <w:spacing w:before="240" w:after="80"/>
      </w:pPr>
      <w:r>
        <w:rPr>
          <w:rFonts w:ascii="Calibri" w:hAnsi="Calibri"/>
          <w:b/>
          <w:color w:val="0E7490"/>
          <w:sz w:val="26"/>
        </w:rPr>
        <w:t>6.4. SPDX License Taxonomy Normalization (`spdx_taxonomy.py`)</w:t>
      </w:r>
    </w:p>
    <w:p>
      <w:pPr>
        <w:spacing w:before="0" w:after="80" w:line="276" w:lineRule="auto"/>
      </w:pPr>
      <w:r>
        <w:rPr>
          <w:rFonts w:ascii="Calibri" w:hAnsi="Calibri"/>
          <w:i w:val="0"/>
          <w:color w:val="1E293B"/>
          <w:sz w:val="20"/>
        </w:rPr>
        <w:t>Raw web text says things like 'Licensed under the Apache Software License, Version 2.0' or 'GNU General Public License v2'. Python normalizes these variations into official SPDX identifiers (`Apache-2.0`, `GPL-2.0-only`, `MIT`, `SSPL-1.0`, `MPL-2.0`). It categorizes them into `PERMISSIVE`, `WEAK_COPYLEFT`, `STRONG_COPYLEFT`, and `SOURCE_AVAILABLE`.</w:t>
      </w:r>
    </w:p>
    <w:p>
      <w:pPr>
        <w:keepNext/>
        <w:spacing w:before="240" w:after="80"/>
      </w:pPr>
      <w:r>
        <w:rPr>
          <w:rFonts w:ascii="Calibri" w:hAnsi="Calibri"/>
          <w:b/>
          <w:color w:val="0E7490"/>
          <w:sz w:val="26"/>
        </w:rPr>
        <w:t>6.5. Multi-Source Consensus Verification Engine (`consensus_engine.py`)</w:t>
      </w:r>
    </w:p>
    <w:p>
      <w:pPr>
        <w:spacing w:before="0" w:after="80" w:line="276" w:lineRule="auto"/>
      </w:pPr>
      <w:r>
        <w:rPr>
          <w:rFonts w:ascii="Calibri" w:hAnsi="Calibri"/>
          <w:i w:val="0"/>
          <w:color w:val="1E293B"/>
          <w:sz w:val="20"/>
        </w:rPr>
        <w:t>Finally, Python synthesizes data across three distinct sources: (1) Local Catalog Ground Truth, (2) WinGet Official Package Manifest, and (3) Harvested Web Evidence. It applies strict precedence rules:</w:t>
      </w:r>
    </w:p>
    <w:p>
      <w:pPr>
        <w:pStyle w:val="ListBullet"/>
        <w:spacing w:before="20" w:after="60" w:line="276" w:lineRule="auto"/>
      </w:pPr>
      <w:r>
        <w:rPr>
          <w:rFonts w:ascii="Calibri" w:hAnsi="Calibri"/>
          <w:b/>
          <w:color w:val="0F2043"/>
          <w:sz w:val="19"/>
        </w:rPr>
        <w:t xml:space="preserve">Precedence Rule 1: </w:t>
      </w:r>
      <w:r>
        <w:rPr>
          <w:rFonts w:ascii="Calibri" w:hAnsi="Calibri"/>
          <w:color w:val="1E293B"/>
          <w:sz w:val="19"/>
        </w:rPr>
        <w:t>WinGet cryptographic metadata and official package IDs take precedence for canonical product names and publishers.</w:t>
      </w:r>
    </w:p>
    <w:p>
      <w:pPr>
        <w:pStyle w:val="ListBullet"/>
        <w:spacing w:before="20" w:after="60" w:line="276" w:lineRule="auto"/>
      </w:pPr>
      <w:r>
        <w:rPr>
          <w:rFonts w:ascii="Calibri" w:hAnsi="Calibri"/>
          <w:b/>
          <w:color w:val="0F2043"/>
          <w:sz w:val="19"/>
        </w:rPr>
        <w:t xml:space="preserve">Precedence Rule 2: </w:t>
      </w:r>
      <w:r>
        <w:rPr>
          <w:rFonts w:ascii="Calibri" w:hAnsi="Calibri"/>
          <w:color w:val="1E293B"/>
          <w:sz w:val="19"/>
        </w:rPr>
        <w:t>Official vendor legal pages (`/legal`, `/pricing`) take precedence over third-party URLs for commercial metrics.</w:t>
      </w:r>
    </w:p>
    <w:p>
      <w:pPr>
        <w:pStyle w:val="ListBullet"/>
        <w:spacing w:before="20" w:after="60" w:line="276" w:lineRule="auto"/>
      </w:pPr>
      <w:r>
        <w:rPr>
          <w:rFonts w:ascii="Calibri" w:hAnsi="Calibri"/>
          <w:b/>
          <w:color w:val="0F2043"/>
          <w:sz w:val="19"/>
        </w:rPr>
        <w:t xml:space="preserve">Precedence Rule 3: </w:t>
      </w:r>
      <w:r>
        <w:rPr>
          <w:rFonts w:ascii="Calibri" w:hAnsi="Calibri"/>
          <w:color w:val="1E293B"/>
          <w:sz w:val="19"/>
        </w:rPr>
        <w:t>Version inflection overrides both WinGet and static catalog definitions to ensure modern compliance.</w:t>
      </w:r>
    </w:p>
    <w:p>
      <w:pPr>
        <w:keepNext/>
        <w:spacing w:before="240" w:after="80"/>
      </w:pPr>
      <w:r>
        <w:rPr>
          <w:rFonts w:ascii="Calibri" w:hAnsi="Calibri"/>
          <w:b/>
          <w:color w:val="0E7490"/>
          <w:sz w:val="26"/>
        </w:rPr>
        <w:t>6.6. Reliability Scoring &amp; Confidence Computation</w:t>
      </w:r>
    </w:p>
    <w:p>
      <w:pPr>
        <w:spacing w:before="0" w:after="80" w:line="276" w:lineRule="auto"/>
      </w:pPr>
      <w:r>
        <w:rPr>
          <w:rFonts w:ascii="Calibri" w:hAnsi="Calibri"/>
          <w:i w:val="0"/>
          <w:color w:val="1E293B"/>
          <w:sz w:val="20"/>
        </w:rPr>
        <w:t>Every resolved record is assigned a composite reliability score (0.0 to 100.0%):</w:t>
      </w:r>
    </w:p>
    <w:p>
      <w:pPr>
        <w:pStyle w:val="ListBullet"/>
        <w:spacing w:before="20" w:after="60" w:line="276" w:lineRule="auto"/>
      </w:pPr>
      <w:r>
        <w:rPr>
          <w:rFonts w:ascii="Calibri" w:hAnsi="Calibri"/>
          <w:b/>
          <w:color w:val="0F2043"/>
          <w:sz w:val="19"/>
        </w:rPr>
        <w:t xml:space="preserve">WinGet Verified Manifest + Official URL: </w:t>
      </w:r>
      <w:r>
        <w:rPr>
          <w:rFonts w:ascii="Calibri" w:hAnsi="Calibri"/>
          <w:color w:val="1E293B"/>
          <w:sz w:val="19"/>
        </w:rPr>
        <w:t>Reliability Score: **95% – 98%** (Confidence: VERY_HIGH).</w:t>
      </w:r>
    </w:p>
    <w:p>
      <w:pPr>
        <w:pStyle w:val="ListBullet"/>
        <w:spacing w:before="20" w:after="60" w:line="276" w:lineRule="auto"/>
      </w:pPr>
      <w:r>
        <w:rPr>
          <w:rFonts w:ascii="Calibri" w:hAnsi="Calibri"/>
          <w:b/>
          <w:color w:val="0F2043"/>
          <w:sz w:val="19"/>
        </w:rPr>
        <w:t xml:space="preserve">Official Domain Scraping + Direct Text Match: </w:t>
      </w:r>
      <w:r>
        <w:rPr>
          <w:rFonts w:ascii="Calibri" w:hAnsi="Calibri"/>
          <w:color w:val="1E293B"/>
          <w:sz w:val="19"/>
        </w:rPr>
        <w:t>Reliability Score: **85% – 92%** (Confidence: HIGH).</w:t>
      </w:r>
    </w:p>
    <w:p>
      <w:pPr>
        <w:pStyle w:val="ListBullet"/>
        <w:spacing w:before="20" w:after="60" w:line="276" w:lineRule="auto"/>
      </w:pPr>
      <w:r>
        <w:rPr>
          <w:rFonts w:ascii="Calibri" w:hAnsi="Calibri"/>
          <w:b/>
          <w:color w:val="0F2043"/>
          <w:sz w:val="19"/>
        </w:rPr>
        <w:t xml:space="preserve">Search Snippet Only / Cross-Validated: </w:t>
      </w:r>
      <w:r>
        <w:rPr>
          <w:rFonts w:ascii="Calibri" w:hAnsi="Calibri"/>
          <w:color w:val="1E293B"/>
          <w:sz w:val="19"/>
        </w:rPr>
        <w:t>Reliability Score: **60% – 75%** (Confidence: MEDIUM).</w:t>
      </w:r>
    </w:p>
    <w:p>
      <w:pPr>
        <w:pStyle w:val="ListBullet"/>
        <w:spacing w:before="20" w:after="60" w:line="276" w:lineRule="auto"/>
      </w:pPr>
      <w:r>
        <w:rPr>
          <w:rFonts w:ascii="Calibri" w:hAnsi="Calibri"/>
          <w:b/>
          <w:color w:val="0F2043"/>
          <w:sz w:val="19"/>
        </w:rPr>
        <w:t xml:space="preserve">Missing Vendor Evidence / Ambiguous Edition: </w:t>
      </w:r>
      <w:r>
        <w:rPr>
          <w:rFonts w:ascii="Calibri" w:hAnsi="Calibri"/>
          <w:color w:val="1E293B"/>
          <w:sz w:val="19"/>
        </w:rPr>
        <w:t>Reliability Score: **&lt; 50%** -&gt; Automatically flags `license_review_required = YES`.</w:t>
      </w:r>
    </w:p>
    <w:p>
      <w:pPr>
        <w:spacing w:after="3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