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b/>
          <w:bCs/>
          <w:color w:val="2E4B7C"/>
          <w:sz w:val="36"/>
          <w:szCs w:val="36"/>
        </w:rPr>
        <w:t xml:space="preserve">SOBHA REALTY — COLLECTIONS DEPARTMENT</w:t>
      </w:r>
    </w:p>
    <w:p>
      <w:r>
        <w:t xml:space="preserve"> </w:t>
      </w:r>
    </w:p>
    <w:p>
      <w:pPr>
        <w:jc w:val="center"/>
      </w:pPr>
      <w:r>
        <w:rPr>
          <w:b/>
          <w:bCs/>
          <w:sz w:val="30"/>
          <w:szCs w:val="30"/>
        </w:rPr>
        <w:t xml:space="preserve">MASTER DATA SCHEMA &amp; SOURCE REGISTRY</w:t>
      </w:r>
    </w:p>
    <w:p>
      <w:r>
        <w:t xml:space="preserve"> </w:t>
      </w:r>
    </w:p>
    <w:p>
      <w:pPr>
        <w:jc w:val="center"/>
      </w:pPr>
      <w:r>
        <w:rPr>
          <w:color w:val="555555"/>
          <w:sz w:val="22"/>
          <w:szCs w:val="22"/>
        </w:rPr>
        <w:t xml:space="preserve">Intelligence Dashboard v4  ·  All Report Sources  ·  Complete Linkage Map</w:t>
      </w:r>
    </w:p>
    <w:p>
      <w:r>
        <w:t xml:space="preserve"> </w:t>
      </w:r>
    </w:p>
    <w:p>
      <w:pPr>
        <w:jc w:val="center"/>
      </w:pPr>
      <w:r>
        <w:rPr>
          <w:i/>
          <w:iCs/>
          <w:color w:val="888888"/>
          <w:sz w:val="20"/>
          <w:szCs w:val="20"/>
        </w:rPr>
        <w:t xml:space="preserve">Data as of: 16–18 March 2026  ·  Schema version: 1.0  ·  Prepared: March 2026</w:t>
      </w:r>
    </w:p>
    <w:p>
      <w:r>
        <w:t xml:space="preserve"> </w:t>
      </w:r>
    </w:p>
    <w:p>
      <w:r>
        <w:t xml:space="preserve"> </w:t>
      </w:r>
    </w:p>
    <w:p>
      <w:pPr>
        <w:pBdr>
          <w:bottom w:val="single" w:color="2E4B7C" w:sz="4"/>
        </w:pBdr>
      </w:pPr>
      <w:r>
        <w:t xml:space="preserve"> </w:t>
      </w:r>
    </w:p>
    <w:p>
      <w:r>
        <w:t xml:space="preserve"> </w:t>
      </w:r>
    </w:p>
    <w:p>
      <w:r>
        <w:rPr>
          <w:b/>
          <w:bCs/>
          <w:sz w:val="22"/>
          <w:szCs w:val="22"/>
        </w:rPr>
        <w:t xml:space="preserve">DOCUMENT PURPOSE</w:t>
      </w:r>
    </w:p>
    <w:p>
      <w:r>
        <w:t xml:space="preserve">This document provides a complete, indexed, and cross-referenced data schema for all source reports uploaded into the Sobha Realty Collections Intelligence Dashboard project. For each report, it defines: the source file identity, all sheets and columns, metric definitions, calculation logic, data lineage, and explicit linkages to every dashboard section, card, chart, and insight that consumes data from that report. This schema enables full traceability of any metric movement back to its source row and column.</w:t>
      </w:r>
    </w:p>
    <w:p>
      <w:r>
        <w:t xml:space="preserve"> </w:t>
      </w:r>
    </w:p>
    <w:p>
      <w:r>
        <w:rPr>
          <w:b/>
          <w:bCs/>
          <w:sz w:val="22"/>
          <w:szCs w:val="22"/>
        </w:rPr>
        <w:t xml:space="preserve">SCOPE</w:t>
      </w:r>
    </w:p>
    <w:p>
      <w:r>
        <w:t xml:space="preserve">34 source files across 5 upload batches. 4 newly added files (March 2026). Dashboard v4 with 8 sections, 42 charts, and 90+ KPI cards.</w:t>
      </w:r>
    </w:p>
    <w:p>
      <w:r>
        <w:t xml:space="preserve"> </w:t>
      </w:r>
    </w:p>
    <w:p>
      <w:pPr>
        <w:pBdr>
          <w:bottom w:val="single" w:color="2E4B7C" w:sz="4"/>
        </w:pBdr>
      </w:pPr>
      <w:r>
        <w:t xml:space="preserve"> </w:t>
      </w:r>
    </w:p>
    <w:p>
      <w:r>
        <w:t xml:space="preserve"> </w:t>
      </w:r>
    </w:p>
    <w:p>
      <w:pPr>
        <w:pStyle w:val="Heading1"/>
      </w:pPr>
      <w:r>
        <w:rPr>
          <w:b/>
          <w:bCs/>
        </w:rPr>
        <w:t xml:space="preserve">SECTION A — MASTER REPORT INDEX</w:t>
      </w:r>
    </w:p>
    <w:p>
      <w:r>
        <w:t xml:space="preserve"> </w:t>
      </w:r>
    </w:p>
    <w:p>
      <w:r>
        <w:t xml:space="preserve">All 38 source reports indexed with unique reference IDs (R01–R38). R01–R34 were uploaded in earlier sessions. R35–R38 are newly uploaded (March 2026 session).</w:t>
      </w:r>
    </w:p>
    <w:p>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00"/>
        <w:gridCol w:w="500"/>
        <w:gridCol w:w="900"/>
        <w:gridCol w:w="3060"/>
      </w:tblGrid>
      <w:tr>
        <w:trPr>
          <w:tblHeader/>
        </w:trPr>
        <w:tc>
          <w:tcPr>
            <w:tcW w:type="dxa" w:w="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Ref</w:t>
            </w:r>
          </w:p>
        </w:tc>
        <w:tc>
          <w:tcPr>
            <w:tcW w:type="dxa" w:w="2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Filename</w:t>
            </w:r>
          </w:p>
        </w:tc>
        <w:tc>
          <w:tcPr>
            <w:tcW w:type="dxa" w:w="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Type</w:t>
            </w:r>
          </w:p>
        </w:tc>
        <w:tc>
          <w:tcPr>
            <w:tcW w:type="dxa" w:w="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Sheets</w:t>
            </w:r>
          </w:p>
        </w:tc>
        <w:tc>
          <w:tcPr>
            <w:tcW w:type="dxa" w:w="9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Data Date</w:t>
            </w:r>
          </w:p>
        </w:tc>
        <w:tc>
          <w:tcPr>
            <w:tcW w:type="dxa" w:w="30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Content Summary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Year_End_Snap_2021_till_2025.pdf</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PDF</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 pages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Annual collections by entity/category 2021–2025</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MDO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8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monthly targets (static+dynamic) vs actuals by entity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Screenshot Entity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Portfolio snapshot: sale value, qualified units, collections ITD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Daily Collection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Day-wise March 2026 collections: Dues+Advance, New Sales, DLD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Only Sobha - Daily Collection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entity daily collections March 2026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Only Siniya - Daily Collection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entity daily collections March 2026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Only Downtown - Daily Collection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Downtown UAQ daily collections March 2026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Summary 16-03-2026.xlsx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24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collections: monthly totals, CY/FY splits, entity breakdowns, rebate vs advance, from-completion-date analysis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R09</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Collections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Project-level collection details and receipt summaries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Coverage summary report.xlsx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19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Agent coverage by bucket (FE/OD/Termination/Siniya), OD pool sizes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Receipt Summary 16-03-2026.xlsx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Receipt status: Dues+Advance, New Sales, Other Charges, Unidentified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Trend M 16-03-2026.xlsx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OD ageing buckets 2025/2026, booksize BOM, advance trend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Summary - Overview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Portfolio overview: sale value ITD, collected ITD, milestone due, overdue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Monthwise Milestone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 sheet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Weekly collections format by project and milestone month</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Overdue &amp; Constraints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4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Constraints by type (0-60d, 61-180d, 180+, Total, EOM, Dev-DLD)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Customer &amp; Nationality Portfolio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Customer-level, nationality-level, CIV-segment data with OD rates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Overdue bifurcation based on Pre registration and SPA 16-03-2026.xlsx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 sheet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by legal status: pre-registration, SPA signed/unsigned, legal category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Consolidated and Overdue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27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Master OD report: all projects sub-totalled by entity (A-G), Grand Total, EOM projection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R19</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Payment plan unitwise as on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Unit-wise payment plan: total, off-plan, by entity (Sobha/Siniya/DT)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 to SOA TAT Report 13-03-2026.xlsx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13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PR-to-SOA turnaround: TAT % by band (0-2d, 3-5d, 6-8d, 9-15d, 15+d) by year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Constraints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Detailed constraint analysis by ageing, Dev-DLD/Legal termination, RFC, PTP-Mortgage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MDO Executive Summary (Nationality).xlsx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Feb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Nationality-wise payment plan, collection trends, mode of payment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Consolidated Net of booking OD as on 16-03-26.xlsx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 sheet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Net OD excluding booking amount, by project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Overdue &amp; Constraints 16-03-26.xlsx (R16 CIV/Nat)</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Customer and Nationality Portfolio — deduplicate reference for CIV data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Mode of Payment 17.03.2026.xlsx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17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Payment channel mix: Count and Value by channel/year/category (2023–2026 YTD)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Other charges 17.03.2026.xlsx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17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LP charges, DLD forfeiture, IC forfeiture, NOC/Admin by year (2023–2026 YTD)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Summary.Dec25.xlsx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7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2025</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entity detailed summary: payment plan, unit sales, collections to date, advance OD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Summary Dec25.xlsx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7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2025</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entity detailed summary (parallel structure to Sobha)</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R29</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Help Desk Cases 20.03.2026.xlsx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Open/Closed helpdesk cases, YTD closed, DNC list, closed cases archive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feedback Report 20.03.2026.xlsx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 sheet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Collector-level: allocated units, OD, target, attempts, contacts, units paid by channel</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 Unit update 19-03-2026.xlsx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8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19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 status: week/date-wise summary, entity-wise PR report, PR data, daily collection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RM Collectors &amp; PRs_Receipts Report 18-03-2026.xlsx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RM collector performance: MTD target/actual, PR counts, entity breakdown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Summary.xlsx (daily2)</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Dues/Advance scores, collector comments, performance summary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Termination_Status_-_Report_20-03-2026.xlsx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Termination funnel: eligible universe, in-system, dev notice sent, resolved, not-in-system gap</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Year_on_Year_Summary_Receipt_as_on_16-03-2026_2.xlsb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YoY receipt cohort: New Sales/Dues/Advance/CY/FY by booking year vs collection year (2021–2026+)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year_on_year_Milestone_Report_as_on_16-03-2026_2.xlsb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YoY milestone: total/active purchase price vs milestone collection by booking-year and collection-year; entity split (Total/Sobha/Siniya/DT)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Milestone_ACD_Report_as_on_09-03-2026.xlsb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XLSB</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9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Actual Completion Date milestone analysis: construction milestones by ACD month, completion %, Group+Sobha entity split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Risk_Analysis_09_03_2026.xlsx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XLSX</w:t>
            </w:r>
          </w:p>
        </w:tc>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10 sheets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9 Mar 2026</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Risk segmentation: units/sale value by paid% band (0-10% to 60%+), by project-tower and by CIV (investment tier), with balance collectible and YoY dues profile per band</w:t>
            </w:r>
          </w:p>
        </w:tc>
      </w:tr>
    </w:tbl>
    <w:p>
      <w:r>
        <w:t xml:space="preserve"> </w:t>
      </w:r>
    </w:p>
    <w:p>
      <w:pPr>
        <w:pBdr>
          <w:bottom w:val="single" w:color="2E4B7C" w:sz="4"/>
        </w:pBdr>
      </w:pPr>
      <w:r>
        <w:t xml:space="preserve"> </w:t>
      </w:r>
    </w:p>
    <w:p>
      <w:r>
        <w:t xml:space="preserve"> </w:t>
      </w:r>
    </w:p>
    <w:p>
      <w:pPr>
        <w:pStyle w:val="Heading1"/>
      </w:pPr>
      <w:r>
        <w:rPr>
          <w:b/>
          <w:bCs/>
        </w:rPr>
        <w:t xml:space="preserve">SECTION B1 — NEW REPORTS DEEP SCHEMA (R35–R38)</w:t>
      </w:r>
    </w:p>
    <w:p>
      <w:r>
        <w:t xml:space="preserve"> </w:t>
      </w:r>
    </w:p>
    <w:p>
      <w:pPr>
        <w:pStyle w:val="Heading2"/>
      </w:pPr>
      <w:r>
        <w:rPr>
          <w:b/>
          <w:bCs/>
        </w:rPr>
        <w:t xml:space="preserve">R35 — Year_on_Year_Summary_Receipt_as_on_16-03-2026_2.xlsb</w:t>
      </w:r>
    </w:p>
    <w:p>
      <w:r>
        <w:rPr>
          <w:b/>
          <w:bCs/>
        </w:rPr>
        <w:t xml:space="preserve">Purpose: </w:t>
      </w:r>
      <w:r>
        <w:t xml:space="preserve">Cohort-level receipt analysis. Maps each collection receipt back to the booking year of the unit, creating a booking-cohort × collection-year matrix. Covers New Sales, Dues, Total Advance, Advance Current Year (CY), and Advance Future Year (FY).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400"/>
        <w:gridCol w:w="1760"/>
      </w:tblGrid>
      <w:tr>
        <w:trPr>
          <w:tblHeader/>
        </w:trPr>
        <w:tc>
          <w:tcPr>
            <w:tcW w:type="dxa" w:w="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Sheet</w:t>
            </w:r>
          </w:p>
        </w:tc>
        <w:tc>
          <w:tcPr>
            <w:tcW w:type="dxa" w:w="2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Row Dimension</w:t>
            </w:r>
          </w:p>
        </w:tc>
        <w:tc>
          <w:tcPr>
            <w:tcW w:type="dxa" w:w="2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Column Dimension</w:t>
            </w:r>
          </w:p>
        </w:tc>
        <w:tc>
          <w:tcPr>
            <w:tcW w:type="dxa" w:w="2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Core Metrics</w:t>
            </w:r>
          </w:p>
        </w:tc>
        <w:tc>
          <w:tcPr>
            <w:tcW w:type="dxa" w:w="17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Key Use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New sale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 (Before 2021, 2022, 2023, 2024, 2025,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 (Before 2022, 2022, 2023, 2024, 2025, 2026)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Sales AED, Active Sales AED, Cancelled Sales AED, New Sale Collections by year</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Tracks new sale receipts per booking cohort year-on-year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 (same structure)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collected in each year against units booked in each cohort year</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Identifies which booking years are generating current dues — delinquency vintage analysis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advance receipts per cohort x collection year</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Tracks advance velocity per booking vintage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CY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 (2023–2026)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Current-Year advance collected per cohort year</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CY advance penetration by booking vintage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FY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 (2023–2027)</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Future-Year advance per cohort year</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FY advance profile — maturity of each cohort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Check List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Metric type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Balance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Cross-check: New Sales=0, Dues=-0, Advance=-0, CY=0, FY=0</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Internal reconciliation flag</w:t>
            </w:r>
          </w:p>
        </w:tc>
      </w:tr>
    </w:tbl>
    <w:p>
      <w:r>
        <w:t xml:space="preserve"> </w:t>
      </w:r>
    </w:p>
    <w:p>
      <w:r>
        <w:rPr>
          <w:b/>
          <w:bCs/>
        </w:rPr>
        <w:t xml:space="preserve">Key Metrics Extracted: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Metric</w:t>
            </w:r>
          </w:p>
        </w:tc>
        <w:tc>
          <w:tcPr>
            <w:tcW w:type="dxa" w:w="3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Definition</w:t>
            </w:r>
          </w:p>
        </w:tc>
        <w:tc>
          <w:tcPr>
            <w:tcW w:type="dxa" w:w="23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Key Values (Totals)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Sale Value ITD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 of all booking cohort sales (active+cancelled)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103.4B (all cohorts)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Active Sales ITD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Sale value of active (non-cancelled) bookings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86.7B</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Cancelled Sales ITD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Sale value of cancelled units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16.7B</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New Sales — 2025 cohort collection in 2025</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New sale receipts from 2025 bookings collected within 2025</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3.75B</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 2022 cohort 2025 collection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from units booked 2022, collected in 2025</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1.22B — substantial tail indicating multi-year delinquency vintage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CY total (2023-2026)</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All current-year advance collected across all cohort years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2.54B</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FY total (2023-2027)</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All future-year advance collected across all cohort years</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3.76B</w:t>
            </w:r>
          </w:p>
        </w:tc>
      </w:tr>
    </w:tbl>
    <w:p>
      <w:r>
        <w:t xml:space="preserve"> </w:t>
      </w:r>
    </w:p>
    <w:p>
      <w:r>
        <w:rPr>
          <w:b/>
          <w:bCs/>
        </w:rPr>
        <w:t xml:space="preserve">Dashboard Linkages:</w:t>
      </w:r>
    </w:p>
    <w:p>
      <w:r>
        <w:t xml:space="preserve">→ Section 01 (2025 Story) — Advance Deep Dive: CY/FY split by cohort year enriches the "why is Dec 2025 CY=0%" narrative. 2025 bookings show FY advance dominance from earliest collection month.</w:t>
      </w:r>
    </w:p>
    <w:p>
      <w:r>
        <w:t xml:space="preserve">→ Section 05 (Advance Collections) — Book Penetration: Advance CY sheet provides denominator-aware penetration by restricting to current-year collections. Clarifies that 2026 target requires collecting CY advances from ALL active cohorts, not just 2026 bookings.</w:t>
      </w:r>
    </w:p>
    <w:p>
      <w:r>
        <w:t xml:space="preserve">→ Section 04 (Dues Collections) — Dues Vintage Analysis: Dues sheet reveals that 2022 cohort still generated AED 1.22B in dues collected in 2025 — multi-year tail. 2023 cohort generated AED 2.77B in 2025 — main active book. FUTURE CHART: Dues cohort waterfall by booking vintage.</w:t>
      </w:r>
    </w:p>
    <w:p>
      <w:r>
        <w:t xml:space="preserve">→ Roadmap: New Sales cancellation rate (AED 16.7B cancelled vs AED 103.4B sold = 16.1%) is a significant portfolio risk metric not currently shown on dashboard.</w:t>
      </w:r>
    </w:p>
    <w:p>
      <w:r>
        <w:t xml:space="preserve"> </w:t>
      </w:r>
    </w:p>
    <w:p>
      <w:pPr>
        <w:pBdr>
          <w:bottom w:val="single" w:color="2E4B7C" w:sz="4"/>
        </w:pBdr>
      </w:pPr>
      <w:r>
        <w:t xml:space="preserve"> </w:t>
      </w:r>
    </w:p>
    <w:p>
      <w:r>
        <w:t xml:space="preserve"> </w:t>
      </w:r>
    </w:p>
    <w:p>
      <w:pPr>
        <w:pStyle w:val="Heading2"/>
      </w:pPr>
      <w:r>
        <w:rPr>
          <w:b/>
          <w:bCs/>
        </w:rPr>
        <w:t xml:space="preserve">R36 — year_on_year_Milestone_Report_as_on_16-03-2026_2.xlsb</w:t>
      </w:r>
    </w:p>
    <w:p>
      <w:r>
        <w:rPr>
          <w:b/>
          <w:bCs/>
        </w:rPr>
        <w:t xml:space="preserve">Purpose: </w:t>
      </w:r>
      <w:r>
        <w:t xml:space="preserve">Maps milestone payment plan obligations against actual collections, organized by booking-year cohort × collection-year. The key insight is: what % of milestones raised against each booking cohort has been collected, and in which years. Provides entity-level splits (Total, Active, Sobha, Siniya, DT).</w:t>
      </w:r>
    </w:p>
    <w:p>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2000"/>
        <w:gridCol w:w="2160"/>
      </w:tblGrid>
      <w:tr>
        <w:trPr>
          <w:tblHeader/>
        </w:trPr>
        <w:tc>
          <w:tcPr>
            <w:tcW w:type="dxa" w:w="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Sheet</w:t>
            </w:r>
          </w:p>
        </w:tc>
        <w:tc>
          <w:tcPr>
            <w:tcW w:type="dxa" w:w="1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Scope</w:t>
            </w:r>
          </w:p>
        </w:tc>
        <w:tc>
          <w:tcPr>
            <w:tcW w:type="dxa" w:w="2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Row Dimension</w:t>
            </w:r>
          </w:p>
        </w:tc>
        <w:tc>
          <w:tcPr>
            <w:tcW w:type="dxa" w:w="2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Column Dimension</w:t>
            </w:r>
          </w:p>
        </w:tc>
        <w:tc>
          <w:tcPr>
            <w:tcW w:type="dxa" w:w="21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Core Metrics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All units (active + cancelled)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 (Before 2021, 2022-2026+)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 (Before 2022, 2022–2028)</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Purchase price, Milestone collections per year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Active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Active units only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Purchase price, Milestone collections (excludes cancelled)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Dubai entity — active units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purchase price + milestone collections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Island entity — active units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purchase price + milestone collections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Downtown UAQ entity — active units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Booking year cohort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year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DT purchase price + milestone collections</w:t>
            </w:r>
          </w:p>
        </w:tc>
      </w:tr>
    </w:tbl>
    <w:p>
      <w:r>
        <w:t xml:space="preserve"> </w:t>
      </w:r>
    </w:p>
    <w:p>
      <w:r>
        <w:rPr>
          <w:b/>
          <w:bCs/>
        </w:rPr>
        <w:t xml:space="preserve">Key Metrics and Insights: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260"/>
      </w:tblGrid>
      <w:tr>
        <w:trPr>
          <w:tblHeader/>
        </w:trPr>
        <w:tc>
          <w:tcPr>
            <w:tcW w:type="dxa" w:w="2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Metric / Insight</w:t>
            </w:r>
          </w:p>
        </w:tc>
        <w:tc>
          <w:tcPr>
            <w:tcW w:type="dxa" w:w="1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c>
          <w:tcPr>
            <w:tcW w:type="dxa" w:w="42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Implication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Group Active Purchase Price (Total Active sheet, Grand Total)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86.97B</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Matches portfolio sale value from R01/R03 — confirms data consistency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cohort milestones due 2025 (Sobha)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8.05B raised</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Largest single-year milestone obligation in Sobha history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cohort milestones due 2026 (Sobha)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4.21B forward</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Near-term certainty — 2025-booked units coming due in 2026</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launch confirmed 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0 milestones pre-2024</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First milestone collection appears in 2024 (AED 689.6M)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2022 cohort milestones: 2025 collection (Sobha)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1.57B</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Long-tail collection from 2022 bookings still material in 2025</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DT launch confirmed 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0 milestones pre-2025</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DT first milestone collection in 2025: AED 238.3M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Forward 2027 milestone obligations (Siniya)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1.47B</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pipeline heavily weighted to 2027 — growing future collectible exposure</w:t>
            </w:r>
          </w:p>
        </w:tc>
      </w:tr>
    </w:tbl>
    <w:p>
      <w:r>
        <w:t xml:space="preserve"> </w:t>
      </w:r>
    </w:p>
    <w:p>
      <w:r>
        <w:rPr>
          <w:b/>
          <w:bCs/>
        </w:rPr>
        <w:t xml:space="preserve">Dashboard Linkages:</w:t>
      </w:r>
    </w:p>
    <w:p>
      <w:r>
        <w:t xml:space="preserve">→ Section 01 (2025 Story) — Growth Trajectory: Provides precise entity-stacked annual chart data by booking cohort, enabling "when were these units booked?" dimension to annual collections.</w:t>
      </w:r>
    </w:p>
    <w:p>
      <w:r>
        <w:t xml:space="preserve">→ Section 02 (Overview) — Portfolio Numbers: Grand Total Active Purchase Price (86.97B) exactly matches and validates the AED 86B portfolio figure used in hero cards.</w:t>
      </w:r>
    </w:p>
    <w:p>
      <w:r>
        <w:t xml:space="preserve">→ Section 04 (Dues Collections) — 30-Day Efficiency: Monthly milestone data by ACD informs denominator for efficiency calculation per cohort vintage.</w:t>
      </w:r>
    </w:p>
    <w:p>
      <w:r>
        <w:t xml:space="preserve">→ Section 05 (Advance Collections) — Forward Book: The forward milestone obligations (2026–2028) per entity provide the most granular denominator available for book penetration calculation. Replaces the approximate "43.5B minus advances applied" estimate used in v4.</w:t>
      </w:r>
    </w:p>
    <w:p>
      <w:r>
        <w:t xml:space="preserve">→ FUTURE CHART: Cohort waterfall — for each booking year, show milestone raised to date, collected to date, and forward balance. Would directly answer "how much is left to collect from 2022 bookings?" at the unit cohort level.</w:t>
      </w:r>
    </w:p>
    <w:p>
      <w:r>
        <w:t xml:space="preserve"> </w:t>
      </w:r>
    </w:p>
    <w:p>
      <w:pPr>
        <w:pBdr>
          <w:bottom w:val="single" w:color="2E4B7C" w:sz="4"/>
        </w:pBdr>
      </w:pPr>
      <w:r>
        <w:t xml:space="preserve"> </w:t>
      </w:r>
    </w:p>
    <w:p>
      <w:r>
        <w:t xml:space="preserve"> </w:t>
      </w:r>
    </w:p>
    <w:p>
      <w:pPr>
        <w:pStyle w:val="Heading2"/>
      </w:pPr>
      <w:r>
        <w:rPr>
          <w:b/>
          <w:bCs/>
        </w:rPr>
        <w:t xml:space="preserve">R37 — Milestone_ACD_Report_as_on_09-03-2026.xlsb</w:t>
      </w:r>
    </w:p>
    <w:p>
      <w:r>
        <w:rPr>
          <w:b/>
          <w:bCs/>
        </w:rPr>
        <w:t xml:space="preserve">Purpose: </w:t>
      </w:r>
      <w:r>
        <w:t xml:space="preserve">Actual Completion Date (ACD) milestone analysis. Maps milestone payment schedules against when projects are expected to complete construction. This is the key report for understanding construction-linked milestone timing — which milestones fall in which calendar month based on the project ACD.</w:t>
      </w:r>
    </w:p>
    <w:p>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800"/>
        <w:gridCol w:w="800"/>
        <w:gridCol w:w="2200"/>
        <w:gridCol w:w="2060"/>
      </w:tblGrid>
      <w:tr>
        <w:trPr>
          <w:tblHeader/>
        </w:trPr>
        <w:tc>
          <w:tcPr>
            <w:tcW w:type="dxa" w:w="1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Sheet</w:t>
            </w:r>
          </w:p>
        </w:tc>
        <w:tc>
          <w:tcPr>
            <w:tcW w:type="dxa" w:w="13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Scope</w:t>
            </w:r>
          </w:p>
        </w:tc>
        <w:tc>
          <w:tcPr>
            <w:tcW w:type="dxa" w:w="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Row Dim</w:t>
            </w:r>
          </w:p>
        </w:tc>
        <w:tc>
          <w:tcPr>
            <w:tcW w:type="dxa" w:w="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Column Dim</w:t>
            </w:r>
          </w:p>
        </w:tc>
        <w:tc>
          <w:tcPr>
            <w:tcW w:type="dxa" w:w="2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Core Metrics</w:t>
            </w:r>
          </w:p>
        </w:tc>
        <w:tc>
          <w:tcPr>
            <w:tcW w:type="dxa" w:w="20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Key Insight Rows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Completion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Group total — completion-linked milestones only</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 (Jan–Dec)</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 (Before 2020 → 2033)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Completion milestone amount, Total amount, Booking amount, Completed/Total %</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Row 17: Completed/Total by year (2025=10%, 2026=62%, 2027=70%)</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Milestone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Group total — all milestones (completion + non-completion)</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milestone AED, Completed amount, Dec completed %, Booking amount</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completed/total by year — reveals Q4 concentration pattern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MS Net Booking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All milestones minus booking amount (milestone-only obligations)</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Net milestone (ex-booking), Completed/Total %, Dec concentration %</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Row 17: Net completion rate by year (2026=41%, 2027=62%)</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entity — completion milestones</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Sobha-specific completion milestone amounts</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2026: ACD Dec = AED 4.78B — single largest month</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Milestone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 all milestones</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Full Sobha milestone schedule</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Dec 2026 total milestone: AED 5.47B</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MS Net Booking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 net of booking</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Month</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Year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net milestone obligations</w:t>
            </w:r>
          </w:p>
        </w:tc>
        <w:tc>
          <w:tcPr>
            <w:tcW w:type="dxa" w:w="2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2028 March net: AED 1.64B — large late completion block</w:t>
            </w:r>
          </w:p>
        </w:tc>
      </w:tr>
    </w:tbl>
    <w:p>
      <w:r>
        <w:t xml:space="preserve"> </w:t>
      </w:r>
    </w:p>
    <w:p>
      <w:r>
        <w:rPr>
          <w:b/>
          <w:bCs/>
        </w:rPr>
        <w:t xml:space="preserve">Critical Milestone Concentration Insights: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60"/>
      </w:tblGrid>
      <w:tr>
        <w:trPr>
          <w:tblHeader/>
        </w:trPr>
        <w:tc>
          <w:tcPr>
            <w:tcW w:type="dxa" w:w="2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Finding</w:t>
            </w:r>
          </w:p>
        </w:tc>
        <w:tc>
          <w:tcPr>
            <w:tcW w:type="dxa" w:w="2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Data Point</w:t>
            </w:r>
          </w:p>
        </w:tc>
        <w:tc>
          <w:tcPr>
            <w:tcW w:type="dxa" w:w="37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Dashboard Impact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Q4/Dec concentration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2026: AED 5.62B total milestones (29% of full-year 2026)</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Collections section — December spike must be built into targets; Dec 2026 is the single largest collection month by far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completion rate: 40% of milestone collected vs total raised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R17: Completed/Total 2026 = 0.41 (net of booking)</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Low completion rate = significant OD risk; 59% of 2026 obligations not yet collected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2027 total milestone pipeline: AED 13.66B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Grand Total row, 2027 column: AED 13.66B</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Forward receivables composition — R36 complements with cohort analysis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2028: AED 6.98B pipeline with AED 5.3B construction-linked (completion milestones)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Completion 2028: AED 5.30B</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Key risk flag: 2028 milestones heavily construction-dependent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2026 ACD Jun completion milestone: AED 2.47B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sheet, Jun/2026: AED 2.47B</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June 2026 is a major Sobha collection month — handover-linked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2030 residual: AED 1.08B (Total Milestone Grand Total)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2030 column: AED 1.08B</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Long-dated tail; mostly completion-linked; low near-term risk but monitors construction delays</w:t>
            </w:r>
          </w:p>
        </w:tc>
      </w:tr>
    </w:tbl>
    <w:p>
      <w:r>
        <w:t xml:space="preserve"> </w:t>
      </w:r>
    </w:p>
    <w:p>
      <w:r>
        <w:rPr>
          <w:b/>
          <w:bCs/>
        </w:rPr>
        <w:t xml:space="preserve">Dashboard Linkages:</w:t>
      </w:r>
    </w:p>
    <w:p>
      <w:r>
        <w:t xml:space="preserve">→ Section 04 (Dues Collections) — Termination &amp; OD Analysis: ACD milestone data identifies which projects have large Dec/Q4 concentrations — these will generate spikes in OD if not collected, directly feeding the termination pipeline.</w:t>
      </w:r>
    </w:p>
    <w:p>
      <w:r>
        <w:t xml:space="preserve">→ Section 02 (Overview) — 2026 Full Year Targets: Dec 2026 AED 5.62B milestone concentration means Q4 2026 target-setting must be weighted differently than H1. Current uniform MDO targets (R02) do not reflect this seasonality.</w:t>
      </w:r>
    </w:p>
    <w:p>
      <w:r>
        <w:t xml:space="preserve">→ Section 05 (Advance Collections) — Forward Book: ACD year columns provide the exact schedule of when milestones become due, enabling a more precise advance-as-%-of-forward-book calculation than the static 40B denominator.</w:t>
      </w:r>
    </w:p>
    <w:p>
      <w:r>
        <w:t xml:space="preserve">→ FUTURE CHART: ACD milestone calendar — monthly bar chart 2026–2028 showing completion milestone amounts by month, overlaid with current collection pace. Would reveal months at highest risk of OD concentration.</w:t>
      </w:r>
    </w:p>
    <w:p>
      <w:r>
        <w:t xml:space="preserve"> </w:t>
      </w:r>
    </w:p>
    <w:p>
      <w:pPr>
        <w:pBdr>
          <w:bottom w:val="single" w:color="2E4B7C" w:sz="4"/>
        </w:pBdr>
      </w:pPr>
      <w:r>
        <w:t xml:space="preserve"> </w:t>
      </w:r>
    </w:p>
    <w:p>
      <w:r>
        <w:t xml:space="preserve"> </w:t>
      </w:r>
    </w:p>
    <w:p>
      <w:pPr>
        <w:pStyle w:val="Heading2"/>
      </w:pPr>
      <w:r>
        <w:rPr>
          <w:b/>
          <w:bCs/>
        </w:rPr>
        <w:t xml:space="preserve">R38 — Risk_Analysis_09_03_2026.xlsx</w:t>
      </w:r>
    </w:p>
    <w:p>
      <w:r>
        <w:rPr>
          <w:b/>
          <w:bCs/>
        </w:rPr>
        <w:t xml:space="preserve">Purpose: </w:t>
      </w:r>
      <w:r>
        <w:t xml:space="preserve">Multi-dimensional risk segmentation of the entire active portfolio. Cuts the portfolio by two independent dimensions: (1) Paid percentage band (0-10%, 10-20%, 20-30%, 30-40%, 40-60%, 60%+) and (2) Investment tier / CIV band (less than 5M, 5-10M, 10-15M, 15-30M, 30-60M, 60-100M, 100M+). For each combination: units, sale value, paid to date, balance collectible, dues, future collectibles, year-by-year forward schedule.</w:t>
      </w:r>
    </w:p>
    <w:p>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2400"/>
        <w:gridCol w:w="1560"/>
      </w:tblGrid>
      <w:tr>
        <w:trPr>
          <w:tblHeader/>
        </w:trPr>
        <w:tc>
          <w:tcPr>
            <w:tcW w:type="dxa" w:w="1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Sheet</w:t>
            </w:r>
          </w:p>
        </w:tc>
        <w:tc>
          <w:tcPr>
            <w:tcW w:type="dxa" w:w="1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Dimension 1 (Rows)</w:t>
            </w:r>
          </w:p>
        </w:tc>
        <w:tc>
          <w:tcPr>
            <w:tcW w:type="dxa" w:w="1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Dimension 2 (Cols)</w:t>
            </w:r>
          </w:p>
        </w:tc>
        <w:tc>
          <w:tcPr>
            <w:tcW w:type="dxa" w:w="2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Core Metrics</w:t>
            </w:r>
          </w:p>
        </w:tc>
        <w:tc>
          <w:tcPr>
            <w:tcW w:type="dxa" w:w="15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Analytical Layer</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projectwise_total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 (0-10% to 60%+)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count, Sale Value AED per band</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Project-tower risk heat map: which projects concentrate in lowest paid bands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investment_total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Investment tier (CIV band)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Sale Value, Paid to date, Balance collectible per tier×band; YoY future collectible (2026–2031)</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Portfolio risk by buyer investment size: who is least paid and most at-risk</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less than 5mil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 (0-10% to 60%+)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 for CIV &lt;5M customers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5M or less buyers: project-level exposure by payment status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5mil to 10mil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 for CIV 5M-10M</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Mid-tier buyer risk profile by project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10mil to 15mil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Upper mid-tier exposure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15mil to 30mil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HNI 15M-30M risk profile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30mil to 60mil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Ultra-HNI 30M-60M — primarily Hartland II Villas, Sea Haven, Elwood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60mil to 100mil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Mega-investor exposure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100mil+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 Project → Tower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 Sale Value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Trophy asset buyers — highest single-unit values; Hartland II dominant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Index</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Structure reference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Page navigation for the 7 paid% bands per investment tier</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Document index</w:t>
            </w:r>
          </w:p>
        </w:tc>
      </w:tr>
    </w:tbl>
    <w:p>
      <w:r>
        <w:t xml:space="preserve"> </w:t>
      </w:r>
    </w:p>
    <w:p>
      <w:r>
        <w:rPr>
          <w:b/>
          <w:bCs/>
        </w:rPr>
        <w:t xml:space="preserve">Critical Risk Metrics Extracted: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rPr>
          <w:tblHeader/>
        </w:trPr>
        <w:tc>
          <w:tcPr>
            <w:tcW w:type="dxa" w:w="2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Risk Metric</w:t>
            </w:r>
          </w:p>
        </w:tc>
        <w:tc>
          <w:tcPr>
            <w:tcW w:type="dxa" w:w="1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c>
          <w:tcPr>
            <w:tcW w:type="dxa" w:w="39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Implication / Action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units 0-10% paid (group)</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251 units, AED 907.7M sale value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Most vulnerable IC/termination candidates; average paid only ~5%; if construction hits 11%, termination eligible immediately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units 10-20% paid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3,496 units, AED 10.34B</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Large near-threshold pool; any delinquency here will rapidly fill termination pipeline if not managed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units 20-30% paid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6,286 units, AED 14.89B</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Core mid-stage risk band; failure to collect next milestone creates OD 30-40% pool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balance collectible — 0-10% band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887M</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Highest-risk forward exposure per unit; IC threshold change from 20%→10% directly impacts this segment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Balance collectible — 10-20% band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8.75B</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Largest single balance collectible band by value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CIV &lt;5M customers — 0-10% paid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186 units, AED 440.7M</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Small investors most at risk; likely to default as affordability stress highest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Skyscape — 10-20% paid: 204 units, AED 602.8M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Skyscape project has 204 units in 10-20% band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High concentration of Skyscape in early payment stages — watch closely for OD escalation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Skyvue — 10-20% paid: 535 units, AED 1.27B</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Skyvue has 535 units at 10-20% paid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Largest single-project risk concentration in the 10-20% band; AED 1.27B at risk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Elwood Villas — 10-20% band: 38 units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395M across 10-20% paid band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High-value units in early stage — likely large investors; relationship management critical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Sea Haven — HNI risk: 30-60M band, 3 units at 0-10% paid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14.75M sale value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Ultra-HNI early-stage; escalation to CCO/CFO warranted</w:t>
            </w:r>
          </w:p>
        </w:tc>
      </w:tr>
    </w:tbl>
    <w:p>
      <w:r>
        <w:t xml:space="preserve"> </w:t>
      </w:r>
    </w:p>
    <w:p>
      <w:r>
        <w:rPr>
          <w:b/>
          <w:bCs/>
        </w:rPr>
        <w:t xml:space="preserve">Dashboard Linkages:</w:t>
      </w:r>
    </w:p>
    <w:p>
      <w:r>
        <w:t xml:space="preserve">→ Section 04 (Dues Collections) — Constraints &amp; Risk: The 0-10% band (251 units) and IC threshold change are directly linked. R38 projectwise_total gives the exact project distribution of this risk.</w:t>
      </w:r>
    </w:p>
    <w:p>
      <w:r>
        <w:t xml:space="preserve">→ Section 01 (2025 Story) — CIV Segmentation (c-civ): R38 investment_total provides the definitive source for CIV-band paid% distribution and balance collectible — far richer than the summary CIV data previously used from R16.</w:t>
      </w:r>
    </w:p>
    <w:p>
      <w:r>
        <w:t xml:space="preserve">→ Section 06 (Operations &amp; QCG) — Automation: The IC threshold business case (flagged in Roadmap) requires R38 data to quantify the volume of units that would enter IC eligibility if threshold changes from 20% to 10%.</w:t>
      </w:r>
    </w:p>
    <w:p>
      <w:r>
        <w:t xml:space="preserve">→ Section 08 (Roadmap) — Strategic Advisory Flag: R38 directly quantifies the "412 units not in system" risk: cross-referencing the 0-10% paid band (251 units, 907.7M) with the termination criteria provides the basis for the AED 134.6M unactioned exposure.</w:t>
      </w:r>
    </w:p>
    <w:p>
      <w:r>
        <w:t xml:space="preserve">→ FUTURE CHARTS: (a) Risk heat map: paid% band vs CIV tier — bubble chart showing unit count, sale value, and OD rate; (b) Project-level risk ranking: Skyvue and Skyscape dominate 10-20% paid band; (c) IC impact analysis: how many units in each paid band would become IC-eligible under 10% vs 20% threshold.</w:t>
      </w:r>
    </w:p>
    <w:p>
      <w:r>
        <w:t xml:space="preserve"> </w:t>
      </w:r>
    </w:p>
    <w:p>
      <w:pPr>
        <w:pBdr>
          <w:bottom w:val="single" w:color="2E4B7C" w:sz="4"/>
        </w:pBdr>
      </w:pPr>
      <w:r>
        <w:t xml:space="preserve"> </w:t>
      </w:r>
    </w:p>
    <w:p>
      <w:r>
        <w:t xml:space="preserve"> </w:t>
      </w:r>
    </w:p>
    <w:p>
      <w:pPr>
        <w:pStyle w:val="Heading1"/>
      </w:pPr>
      <w:r>
        <w:rPr>
          <w:b/>
          <w:bCs/>
        </w:rPr>
        <w:t xml:space="preserve">SECTION B — MASTER METRIC DEFINITIONS</w:t>
      </w:r>
    </w:p>
    <w:p>
      <w:r>
        <w:t xml:space="preserve"> </w:t>
      </w:r>
    </w:p>
    <w:p>
      <w:r>
        <w:t xml:space="preserve">All key metrics used across the dashboard, with source, formula, and all locations where the metric appears.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800"/>
        <w:gridCol w:w="1360"/>
      </w:tblGrid>
      <w:tr>
        <w:trPr>
          <w:tblHeader/>
        </w:trPr>
        <w:tc>
          <w:tcPr>
            <w:tcW w:type="dxa" w:w="1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Metric Name</w:t>
            </w:r>
          </w:p>
        </w:tc>
        <w:tc>
          <w:tcPr>
            <w:tcW w:type="dxa" w:w="2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Definition / Formula</w:t>
            </w:r>
          </w:p>
        </w:tc>
        <w:tc>
          <w:tcPr>
            <w:tcW w:type="dxa" w:w="1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Primary Source</w:t>
            </w:r>
          </w:p>
        </w:tc>
        <w:tc>
          <w:tcPr>
            <w:tcW w:type="dxa" w:w="1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Secondary Sources</w:t>
            </w:r>
          </w:p>
        </w:tc>
        <w:tc>
          <w:tcPr>
            <w:tcW w:type="dxa" w:w="13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Dashboard Locations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Dues+Advance (D+A)</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 of all dues and advance receipts collected in a period. Excludes New Sales, DLD, Other Charges.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(annual), R08 (monthly)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R11, R18, R04</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Hero card, S01 annual chart, S03 MTD/YTD, S04 dues section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Collections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D+A + New Sales + Other Charges + DLD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R04, R08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R02 MDO</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growth chart, S02 overview cards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Overdue Today (OD)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unpaid amount on all milestones whose due date has passed as of report date. NOT EOM OD.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Grand Total col[4]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R15, R10</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Hero card, S02 entity cards, S04 OD charts — all from R18 same date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EOM OD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projected at end of current month if zero collection occurs. = OD Today + Upcoming milestones due this month.</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Grand Total col[5]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collectible window card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March Collectible Window</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Today + March milestones due = immediate actionable collection pool.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 R02 MS target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R14</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hero card (AED 2.56B)</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Dues+Advance CAGR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(EndValue/StartValue)^(1/n) - 1. n=4 for 2021→2025.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(2021=867M, 2025=12,966M)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5-stat banner (97%)</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30-Day Collection Efficiency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collected in month / Opening booksize BOM. Expressed as %.</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cols [Booksize BOM] and [Dues collected]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dues performance sub-section (34.8%)</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CY Advance Mix %</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Current-Year advance / Total advance × 100. Advance where the milestone due date falls in the current calendar year.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2025CYFY, Advance 2026CYFY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Siniya CY FY, DT CY FY</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advance CY/FY charts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 Penetration %</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Annual advance collected / Opening forward receivables book for that year. Forward book ≈ total pipeline minus advances already applied.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(numerator), R36 YoY Milestone (denominator)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R37 ACD (alternate denominator)</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penetration chart — corrected denominator from R36</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Agent Coverage %</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contacted / Units allocated × 100. Contact = at least one Salesforce disposition recorded in current period.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R10 Coverage summary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coverage sub-section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Attempt Intensity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call attempts / Units allocated.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 Monthly Feedback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collector performance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Contact Intensity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contacts made / Units allocated.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collector performance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PTP Amount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AED value of Promise-to-Pay commitments recorded in Salesforce for current period.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 R32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coverage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 Approval Rate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Approved first-pass PRs / Total PRs submitted × 100.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R31 PR Unit update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ops sub-section (51% in Dec 2025 sample)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PCC TAT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Calendar days from 100% payment completion to PCC issuance. Measured per unit.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(target: 2 days)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R31</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PCC TAT chart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LP Charges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Late payment fee charged: 1% every 15 days on overdue amount. Collected LP appears in Other Charges.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Other Charges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(annual)</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LP charges chart, S06 other charges chart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IC Forfeiture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Amount forfeited from customers under Internal Cancellation process.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Other Charges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other charges chart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DLD Forfeiture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Amount forfeited through DLD termination proceedings.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Other Charges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other charges chart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App Adoption Rate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Customers who have downloaded One Sobha App / Total active bookings excl. PCC × 100.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(57% current)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R25 Mode of Payment</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app adoption panel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NPV Rate / Rebate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Effective NPV cost of advance rebate = total rebate given / total advance collected × 100. Annualized as per days early.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vs Rebate (sheet)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NPV rebate panel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Delinquency Rate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 Sale value for a given segment. Expressed as %. Both OD% and OD value must be shown together.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R16 Nationality/CIV sheets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investment_total</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nationality/CIV charts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YoY Collection Cohort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Collection receipts mapped to the booking year of the unit, not the collection year. Creates vintage cohort matrix.</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 YoY Receipt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R36 YoY Milestone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Future: vintage waterfall charts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Paid % Band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 categorized by what % of its total sale price has been collected to date. Bands: 0-10%, 10-20%, 20-30%, 30-40%, 40-60%, 60%+.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Risk Analysis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(unit level)</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constraints, future risk heat map</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ACD Milestone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Milestone payment tied to Actual Completion Date (construction milestone). Largest single source of Dec concentration.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R37 Milestone ACD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Future: ACD calendar chart</w:t>
            </w:r>
          </w:p>
        </w:tc>
      </w:tr>
    </w:tbl>
    <w:p>
      <w:r>
        <w:t xml:space="preserve"> </w:t>
      </w:r>
    </w:p>
    <w:p>
      <w:pPr>
        <w:pBdr>
          <w:bottom w:val="single" w:color="2E4B7C" w:sz="4"/>
        </w:pBdr>
      </w:pPr>
      <w:r>
        <w:t xml:space="preserve"> </w:t>
      </w:r>
    </w:p>
    <w:p>
      <w:r>
        <w:t xml:space="preserve"> </w:t>
      </w:r>
    </w:p>
    <w:p>
      <w:pPr>
        <w:pStyle w:val="Heading1"/>
      </w:pPr>
      <w:r>
        <w:rPr>
          <w:b/>
          <w:bCs/>
        </w:rPr>
        <w:t xml:space="preserve">SECTION C — CHART-TO-SOURCE LINKAGE MAP</w:t>
      </w:r>
    </w:p>
    <w:p>
      <w:r>
        <w:t xml:space="preserve"> </w:t>
      </w:r>
    </w:p>
    <w:p>
      <w:r>
        <w:t xml:space="preserve">Every chart and card in the dashboard mapped to its primary source report, secondary sources, metric consumed, and critical validation notes.</w:t>
      </w:r>
    </w:p>
    <w:p>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1800"/>
        <w:gridCol w:w="1660"/>
      </w:tblGrid>
      <w:tr>
        <w:trPr>
          <w:tblHeader/>
        </w:trPr>
        <w:tc>
          <w:tcPr>
            <w:tcW w:type="dxa" w:w="2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Dashboard Location</w:t>
            </w:r>
          </w:p>
        </w:tc>
        <w:tc>
          <w:tcPr>
            <w:tcW w:type="dxa" w:w="1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Primary Source(s)</w:t>
            </w:r>
          </w:p>
        </w:tc>
        <w:tc>
          <w:tcPr>
            <w:tcW w:type="dxa" w:w="13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Secondary Sources</w:t>
            </w:r>
          </w:p>
        </w:tc>
        <w:tc>
          <w:tcPr>
            <w:tcW w:type="dxa" w:w="1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Metrics Consumed</w:t>
            </w:r>
          </w:p>
        </w:tc>
        <w:tc>
          <w:tcPr>
            <w:tcW w:type="dxa" w:w="16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Validation Notes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Growth trajectory (c-annual-entity)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(annual totals), R08 Summary (entity breakdown)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 (cohort split), R36 (milestone by cohort)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Dues+Advance by entity and year</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stacked: Sobha / Siniya+DT. 2024 = Siniya+DT inception.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Mix evolution (c-mix-grp/sob/sin)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R08 Summary monthly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 (collection by category per cohort year)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Advance%, New Sales% of total by month</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Entity toggles. Siniya monthly since Jan 2025.</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LP Charges (c-lp-grp)</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Other Charges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LP charges AED by year and entity</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is primary. R01 confirms annual totals.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Advance 3yr (c-adv-3yr)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2023_CYFY, 2024_CYFY, 2025CYFY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 Advance sheet (cohort view)</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2023/2024/2025 monthly advance totals</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406M = highest single month 2025. Not &gt; any full quarter.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Advance CY/FY 2025 (c-adv-2025)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2025CYFY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R35 Advance CY / Advance FY sheets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CY vs FY advance split 2025</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 CY=70.1%→Dec CY=0%</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NPV Rebate panel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 R08 Advance vs Rebate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Rebate slabs, incremental inflow 652M, NPV rate 4.3%</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Correct: bank cost 31M vs rebate cost 21M</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Nationality (c-nat)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R16 Nationality sheet, R22 MDO Exec Nat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R16 Customer sheet (for OD values)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Portfolio AED, OD rate%, OD value AED by nationality</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India OD = 534M (highest absolute). Netherlands 10.02% (highest rate).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S01 — CIV (c-civ)</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R16 CIV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investment_total (richer source)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CIV band → units, portfolio, OD value, OD rate</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adds paid% dimension to CIV — enables risk heat map in v5</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S02 — Portfolio cards (entity OD)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NEW sheet Sub-totals A-G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today by entity from same date/source</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CRITICAL: All entity OD must come from R18 same date. R18: Sobha 1.47B, Siniya 166M, DT 11M = 1.65B</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S02 — Collected ITD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R13 Summary Overview</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Summary Grand Total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43.3B collected ITD, 50.3% of 86B</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S02 — 2026 targets (c-mdo-tot etc)</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R02 MDO Dynamic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R04-R07 daily entity reports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Dynamic targets + actuals by month by entity</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Dynamic targets adjusted vs static. Jan 112%, Feb 99%, Q1 91%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 MTD Dues (entity)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R04 (Total), R05 (Sobha), R06 (Siniya), R07 (DT)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R02 MDO actuals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MTD vs monthly target by entity</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 partial month as of 18 Mar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 Day-wise (c-daily)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R04 Total Daily Collection, "daily"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Working day collections Dues+Advance and New Sales</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days tracked Mar 1-18 2026</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 Collector (c-coll)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 Monthly Feedback</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R32 RM Collectors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Target, actual, achievement% per collector</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Top: Walid 56%, Abdellatif 54.8%. Bottom: Ainur 29.5%</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 Coverage (coverage bars)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R10 Dues Coverage Summary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covered/allocated by bucket + OD pool</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86.2% coverage — 198 units unworked, 319M OD pool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S03 — Channel (c-channel)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R30 Monthly Feedback: Units paid by channel columns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Email 37%, Calls 34%, Self-cured 25%, WA 2.7%</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1,384 units paid total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OD Ageing (c-od-ageing)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Grand Total ageing columns [col5-col10]</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(monthly ageing)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by 0-30d, 31-60d, 61-90d, 91-120d, 121-180d, 180+</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date: 15 Mar 2026</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Top OD projects (c-od-proj)</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NEW sheet individual project rows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AED per project</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Riverside Crescent 237M top</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OD Trend 2025 (c-od-trend)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(Trend (3)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OD ageing buckets Jan-Dec 2025</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180+ grew from 490M (Jan) to 575M (Dec)</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SPA Status (c-spa)</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R17 OD bifurcation SPA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77% pre-reg, 15% SPA not pre-reg, 2.2% SPA signed, 0.7% not sent</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Dues booksize efficiency (c-dues-book)</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Booksize BOM + Dues collected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booksize vs collected, 34.8% avg efficiency</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Corrected from 18% shown in v3</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Termination (c-term)</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R34 Termination Status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entering termination monthly 2025 (Apr-Dec)</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Avg 427 units/month. 412 not in system = 134.6M unactioned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S04 — Constraints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R21 Constraints 16-03-26</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projectwise_total (paid% risk by project)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Units and OD by constraint type</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R38 adds project-level paid% dimension to constraint analysis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 Advance main (c-adv-main)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2025CYFY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2025 CY vs FY advance AED</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 Advance 2026 (c-adv-2026)</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2026CYFY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Jan-Mar 2026 CY/FY with 320M/month target</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YTD CY 81.1% (Jan 84%, Feb 77%, Mar 86%)</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 Book penetration (c-adv-pen)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(numerator)</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R36 YoY Milestone — better denominator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Annual advance / opening forward book by year</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8.15%. 2026 target: 10.6% on ~37.8B book</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S05 — 3yr comparison (c-adv-hist)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2023_CYFY, 2024_CYFY, 2025CYFY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advance 2023, 2024, 2025 side-by-side</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 3.26B (+125% vs 2024)</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PR quality (c-prq)</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R31 PR Unit update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51% approved, 27% doc gaps, 23% manual errors (Dec 2025 sample 1,818 PRs)</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PCC TAT (c-pcc)</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(before/after data)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TAT days and volume by month Jan 2025-Feb 2026</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Pre-initiative 20d avg; post 3-5d; target 2d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Payment channel (c-paych)</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R25 Mode of Payment: summary sheet (Count)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9 channels × 3 years (2024/2025/2026 YTD) as % of transaction count</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Basis = transaction count NOT value. 2026 D+A n=17,473</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PR-to-SOA TAT (c-prtat)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R20 PR to SOA TAT: Summary 1 sheet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TAT% by band: 2024 (25%), 2025 (35%), 2026 YTD (51%) in 0-2d band</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Other charges (c-ochg)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R26 Summary sheet: LP, DLD forfeiture, IC forfeiture by year</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by category 2023-2026 YTD</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YTD DLD forfeiture 38.9M already exceeds full year 2025 (22.3M)</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S06 — Helpdesk (c-helpdesk)</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R29 YTD Closed Cases + monthly case data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closed volume + within TAT %</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YTD 120.7K closed, 85.5% within TAT, Feb 2026 93.4%</w:t>
            </w:r>
          </w:p>
        </w:tc>
      </w:tr>
    </w:tbl>
    <w:p>
      <w:r>
        <w:t xml:space="preserve"> </w:t>
      </w:r>
    </w:p>
    <w:p>
      <w:pPr>
        <w:pBdr>
          <w:bottom w:val="single" w:color="2E4B7C" w:sz="4"/>
        </w:pBdr>
      </w:pPr>
      <w:r>
        <w:t xml:space="preserve"> </w:t>
      </w:r>
    </w:p>
    <w:p>
      <w:r>
        <w:t xml:space="preserve"> </w:t>
      </w:r>
    </w:p>
    <w:p>
      <w:pPr>
        <w:pStyle w:val="Heading1"/>
      </w:pPr>
      <w:r>
        <w:rPr>
          <w:b/>
          <w:bCs/>
        </w:rPr>
        <w:t xml:space="preserve">SECTION D — CRITICAL CALCULATION CHAINS</w:t>
      </w:r>
    </w:p>
    <w:p>
      <w:r>
        <w:t xml:space="preserve"> </w:t>
      </w:r>
    </w:p>
    <w:p>
      <w:r>
        <w:t xml:space="preserve">For any metric that involves multi-step calculation, the chain is documented so that downstream dashboard values can be traced to source cells.</w:t>
      </w:r>
    </w:p>
    <w:p>
      <w:r>
        <w:t xml:space="preserve"> </w:t>
      </w:r>
    </w:p>
    <w:p>
      <w:pPr>
        <w:pStyle w:val="Heading2"/>
      </w:pPr>
      <w:r>
        <w:rPr>
          <w:b/>
          <w:bCs/>
        </w:rPr>
        <w:t xml:space="preserve">D1 — Dues+Advance 2025 Total</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360"/>
      </w:tblGrid>
      <w:tr>
        <w:trPr>
          <w:tblHeader/>
        </w:trPr>
        <w:tc>
          <w:tcPr>
            <w:tcW w:type="dxa" w:w="1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3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23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2025 annual</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Year End Snap — Dues row</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9,706M</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Advance 2025 annual</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R01 Year End Snap — Advance row</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3,260M</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D+A Total</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12,966M (= 12.97B)</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Dashboard text correction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Was "crossed 13B"</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Must read: "approaching AED 13B milestone"</w:t>
            </w:r>
          </w:p>
        </w:tc>
      </w:tr>
    </w:tbl>
    <w:p>
      <w:r>
        <w:t xml:space="preserve"> </w:t>
      </w:r>
    </w:p>
    <w:p>
      <w:pPr>
        <w:pStyle w:val="Heading2"/>
      </w:pPr>
      <w:r>
        <w:rPr>
          <w:b/>
          <w:bCs/>
        </w:rPr>
        <w:t xml:space="preserve">D2 — Entity OD Reconciliation (Most Critical)</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1960"/>
      </w:tblGrid>
      <w:tr>
        <w:trPr>
          <w:tblHeader/>
        </w:trPr>
        <w:tc>
          <w:tcPr>
            <w:tcW w:type="dxa" w:w="8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2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16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c>
          <w:tcPr>
            <w:tcW w:type="dxa" w:w="19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Rule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Total OD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Grand Total row, col[4]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1,650.1M</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USE THIS. Single source of truth.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OD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Sub-totals (A+B+C+D+E)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1,472.7M</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Derived from same R18 sheet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Siniya OD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Sub-total (F)</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166.4M</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Same R18 sheet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Downtown OD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Sub-total (G)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11.0M</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Same R18 sheet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Check: A+F+G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1,650.1M ✓</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All from R18 same date 15 Mar 2026</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INCORRECT (old)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text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Sobha 1.57B — DO NOT USE</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Different date, narrative estimate only</w:t>
            </w:r>
          </w:p>
        </w:tc>
      </w:tr>
    </w:tbl>
    <w:p>
      <w:r>
        <w:t xml:space="preserve"> </w:t>
      </w:r>
    </w:p>
    <w:p>
      <w:pPr>
        <w:pStyle w:val="Heading2"/>
      </w:pPr>
      <w:r>
        <w:rPr>
          <w:b/>
          <w:bCs/>
        </w:rPr>
        <w:t xml:space="preserve">D3 — 30-Day Collection Efficiency</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860"/>
      </w:tblGrid>
      <w:tr>
        <w:trPr>
          <w:tblHeader/>
        </w:trPr>
        <w:tc>
          <w:tcPr>
            <w:tcW w:type="dxa" w:w="10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3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18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Booksize BOM monthly</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"Trend (3)" sheet, col[Total duebook BOM]</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 1,547M → Dec 2,237M</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collected monthly</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R12 Trend M, col[Dues collected]</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 602M → Dec 732M</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Monthly efficiency</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Dues collected / Booksize BOM</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 38.9%, ..., Dec 32.7%</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Average efficiency 2025</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Mean of 12 monthly values</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34.8%</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INCORRECT (old)</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Dashboard v3 showed</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18% — no validated basis</w:t>
            </w:r>
          </w:p>
        </w:tc>
      </w:tr>
    </w:tbl>
    <w:p>
      <w:r>
        <w:t xml:space="preserve"> </w:t>
      </w:r>
    </w:p>
    <w:p>
      <w:pPr>
        <w:pStyle w:val="Heading2"/>
      </w:pPr>
      <w:r>
        <w:rPr>
          <w:b/>
          <w:bCs/>
        </w:rPr>
        <w:t xml:space="preserve">D4 — Advance 2026 CY Mix Calculation</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60"/>
      </w:tblGrid>
      <w:tr>
        <w:trPr>
          <w:tblHeader/>
        </w:trPr>
        <w:tc>
          <w:tcPr>
            <w:tcW w:type="dxa" w:w="1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2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24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Jan 2026 CY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2026CYFY row Jan</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248.4M (84.0% of 295.7M)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Feb 2026 CY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row Feb</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222.7M (77.2% of 288.6M)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 2026 CY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row Mar</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48.7M (86.1% of 56.6M)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Weighted avg CY%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By collection volume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81.1% YTD 2026</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Reference: Jan 2025 CY%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2025CYFY row Jan</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70.1% (NOT 30% as in v3)</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Note: 30% was Jan 2025 FY%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row Jan 2025 FY col</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29.9% — v3 incorrectly used FY% as CY baseline</w:t>
            </w:r>
          </w:p>
        </w:tc>
      </w:tr>
    </w:tbl>
    <w:p>
      <w:r>
        <w:t xml:space="preserve"> </w:t>
      </w:r>
    </w:p>
    <w:p>
      <w:pPr>
        <w:pStyle w:val="Heading2"/>
      </w:pPr>
      <w:r>
        <w:rPr>
          <w:b/>
          <w:bCs/>
        </w:rPr>
        <w:t xml:space="preserve">D5 — March 2026 Collectible Window</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60"/>
      </w:tblGrid>
      <w:tr>
        <w:trPr>
          <w:tblHeader/>
        </w:trPr>
        <w:tc>
          <w:tcPr>
            <w:tcW w:type="dxa" w:w="1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2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24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OD Today (15 Mar 2026)</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R18 Grand Total col[4]</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1,650.1M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March MS due this month</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R02 MDO + R14 Monthwise Milestone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~914M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Collectible Window</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Sum: OD + March MS</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2,564M ≈ 2.56B</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NOTE: 42B / 43.5B</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R36 YoY Milestone (forward pipeline)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Multi-year forward obligations — NOT current month collectible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NOTE: 46,000+ Booking IDs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(all-time, incl. completed)</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Active bookings excl. PCC = 30,044 (from R25 app adoption data)</w:t>
            </w:r>
          </w:p>
        </w:tc>
      </w:tr>
    </w:tbl>
    <w:p>
      <w:r>
        <w:t xml:space="preserve"> </w:t>
      </w:r>
    </w:p>
    <w:p>
      <w:pPr>
        <w:pStyle w:val="Heading2"/>
      </w:pPr>
      <w:r>
        <w:rPr>
          <w:b/>
          <w:bCs/>
        </w:rPr>
        <w:t xml:space="preserve">D6 — Book Penetration (Corrected)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60"/>
      </w:tblGrid>
      <w:tr>
        <w:trPr>
          <w:tblHeader/>
        </w:trPr>
        <w:tc>
          <w:tcPr>
            <w:tcW w:type="dxa" w:w="14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2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24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Value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advance collected</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Summary Total</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3,260M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opening forward book (approx)</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Strategy doc basis</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40B (use only as approximation)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2025 penetration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3,260/40,000</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8.15%</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target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MDO / Strategy target</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4,000-4,200M</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opening forward book</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R36 / R37 derived (43.5B - 5.7B prior advances)</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37.8B</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2026 penetration target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4,200/37,800</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10.6%</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Correct formula</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Annual advance / Opening forward book of THAT year</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Do not use 40B for both years</w:t>
            </w:r>
          </w:p>
        </w:tc>
      </w:tr>
    </w:tbl>
    <w:p>
      <w:r>
        <w:t xml:space="preserve"> </w:t>
      </w:r>
    </w:p>
    <w:p>
      <w:pPr>
        <w:pStyle w:val="Heading2"/>
      </w:pPr>
      <w:r>
        <w:rPr>
          <w:b/>
          <w:bCs/>
        </w:rPr>
        <w:t xml:space="preserve">D7 — Dec 2025 Advance Statement (Corrected)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660"/>
      </w:tblGrid>
      <w:tr>
        <w:trPr>
          <w:tblHeader/>
        </w:trPr>
        <w:tc>
          <w:tcPr>
            <w:tcW w:type="dxa" w:w="12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Step</w:t>
            </w:r>
          </w:p>
        </w:tc>
        <w:tc>
          <w:tcPr>
            <w:tcW w:type="dxa" w:w="250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Source</w:t>
            </w:r>
          </w:p>
        </w:tc>
        <w:tc>
          <w:tcPr>
            <w:tcW w:type="dxa" w:w="2660"/>
            <w:tcBorders>
              <w:top w:val="single" w:color="BBBBBB" w:sz="1"/>
              <w:left w:val="single" w:color="BBBBBB" w:sz="1"/>
              <w:bottom w:val="single" w:color="BBBBBB" w:sz="1"/>
              <w:right w:val="single" w:color="BBBBBB" w:sz="1"/>
            </w:tcBorders>
            <w:shd w:fill="2E4B7C" w:val="clear"/>
            <w:tcMar>
              <w:top w:type="dxa" w:w="80"/>
              <w:left w:type="dxa" w:w="120"/>
              <w:bottom w:type="dxa" w:w="80"/>
              <w:right w:type="dxa" w:w="120"/>
            </w:tcMar>
          </w:tcPr>
          <w:p>
            <w:pPr>
              <w:jc w:val="left"/>
            </w:pPr>
            <w:r>
              <w:rPr>
                <w:b/>
                <w:bCs/>
                <w:color w:val="FFFFFF"/>
                <w:sz w:val="18"/>
                <w:szCs w:val="18"/>
              </w:rPr>
              <w:t xml:space="preserve">Statement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2025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Advance 2025CYFY row Dec</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406.4M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Q1 2025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Jan+Feb+Mar = 165+161+186</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512M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Q2 2025 advance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R08: Apr+May+Jun = 266+331+259</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AED 856M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vs Q1</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406 &lt; 512</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did NOT exceed Q1</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vs Q2</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406 &lt; 856</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did NOT exceed Q2</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vs H1 months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Max H1 month: May 331M</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(406M) &gt; May (331M)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CORRECTED statement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b w:val="false"/>
                <w:bCs w:val="false"/>
                <w:color w:val="222222"/>
                <w:sz w:val="18"/>
                <w:szCs w:val="18"/>
              </w:rPr>
              <w:t xml:space="preserve">Dec (406M) was highest single MONTH in 2025. Exceeded every H1 month. Did not exceed any full quarter.</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B7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3A6C"/>
      <w:sz w:val="24"/>
      <w:szCs w:val="24"/>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2026-03-24T06:48:21.976Z</dcterms:created>
  <dcterms:modified xsi:type="dcterms:W3CDTF">2026-03-24T06:48:21.977Z</dcterms:modified>
</cp:coreProperties>
</file>

<file path=docProps/custom.xml><?xml version="1.0" encoding="utf-8"?>
<Properties xmlns="http://schemas.openxmlformats.org/officeDocument/2006/custom-properties" xmlns:vt="http://schemas.openxmlformats.org/officeDocument/2006/docPropsVTypes"/>
</file>