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274"/>
        <w:tblW w:w="5265" w:type="pct"/>
        <w:tblLook w:val="04A0"/>
      </w:tblPr>
      <w:tblGrid>
        <w:gridCol w:w="4282"/>
        <w:gridCol w:w="1093"/>
        <w:gridCol w:w="1131"/>
        <w:gridCol w:w="1129"/>
        <w:gridCol w:w="1178"/>
        <w:gridCol w:w="1271"/>
      </w:tblGrid>
      <w:tr w:rsidR="00347F9B" w:rsidRPr="00347F9B" w:rsidTr="00347F9B">
        <w:trPr>
          <w:trHeight w:val="20"/>
        </w:trPr>
        <w:tc>
          <w:tcPr>
            <w:tcW w:w="2123" w:type="pct"/>
            <w:vMerge w:val="restar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2877" w:type="pct"/>
            <w:gridSpan w:val="5"/>
            <w:vAlign w:val="center"/>
          </w:tcPr>
          <w:p w:rsidR="00347F9B" w:rsidRPr="00347F9B" w:rsidRDefault="00347F9B" w:rsidP="00347F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---------------- IN RS. CR----------------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Merge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2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‘15</w:t>
            </w:r>
          </w:p>
        </w:tc>
        <w:tc>
          <w:tcPr>
            <w:tcW w:w="561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‘14</w:t>
            </w:r>
          </w:p>
        </w:tc>
        <w:tc>
          <w:tcPr>
            <w:tcW w:w="560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‘13</w:t>
            </w:r>
          </w:p>
        </w:tc>
        <w:tc>
          <w:tcPr>
            <w:tcW w:w="584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‘12</w:t>
            </w:r>
          </w:p>
        </w:tc>
        <w:tc>
          <w:tcPr>
            <w:tcW w:w="630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‘11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Merge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2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61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60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84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630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Income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0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Sales Turnover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103.93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90.80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83.75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65.53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71.40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Excise Duty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9.83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8.82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7.91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5.81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5.34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Net Sales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94.10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81.98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75.84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59.72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66.06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Other Income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-0.11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Stock Adjustments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-0.65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1.64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Income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94.74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82.56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76.00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59.23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67.86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Expenditure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630" w:type="pct"/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Raw Materials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76.12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65.08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58.54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43.83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51.00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Power &amp; Fuel Cost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3.56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3.17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3.03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Employee Cost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4.83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4.06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3.62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3.15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3.19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Other Manufacturing Expenses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Selling and Admin Expenses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Miscellaneous Expenses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4.19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4.23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4.37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3.79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3.91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 xml:space="preserve">Preoperative Exp </w:t>
            </w: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Capitalized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Total Expenses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88.70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76.54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69.78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53.57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61.13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2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‘15</w:t>
            </w:r>
          </w:p>
        </w:tc>
        <w:tc>
          <w:tcPr>
            <w:tcW w:w="561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‘14</w:t>
            </w:r>
          </w:p>
        </w:tc>
        <w:tc>
          <w:tcPr>
            <w:tcW w:w="560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‘13</w:t>
            </w:r>
          </w:p>
        </w:tc>
        <w:tc>
          <w:tcPr>
            <w:tcW w:w="584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‘12</w:t>
            </w:r>
          </w:p>
        </w:tc>
        <w:tc>
          <w:tcPr>
            <w:tcW w:w="630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Mar ‘11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2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61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60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84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630" w:type="pct"/>
            <w:vAlign w:val="center"/>
          </w:tcPr>
          <w:p w:rsidR="00347F9B" w:rsidRPr="00347F9B" w:rsidRDefault="00347F9B" w:rsidP="00347F9B">
            <w:pPr>
              <w:rPr>
                <w:rFonts w:ascii="Times New Roman" w:hAnsi="Times New Roman" w:cs="Times New Roman"/>
                <w:b/>
              </w:rPr>
            </w:pPr>
            <w:r w:rsidRPr="00347F9B">
              <w:rPr>
                <w:rFonts w:ascii="Times New Roman" w:hAnsi="Times New Roman" w:cs="Times New Roman"/>
                <w:b/>
              </w:rPr>
              <w:t>12 mnths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5.68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5.79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6.33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5.50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6.57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PBDIT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6.04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6.22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5.66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6.73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Interest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1.92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1.86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1.98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1.73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1.10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PBDT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4.12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4.16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4.24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3.93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5.63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1.83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1.46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1.43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Other Written Off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tcBorders>
              <w:bottom w:val="single" w:sz="4" w:space="0" w:color="auto"/>
            </w:tcBorders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Profit Before Tax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2.29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2.70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2.81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2.57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4.48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Extra-ordinary items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0" w:type="pct"/>
            <w:tcBorders>
              <w:bottom w:val="single" w:sz="4" w:space="0" w:color="auto"/>
            </w:tcBorders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tcBorders>
              <w:top w:val="single" w:sz="4" w:space="0" w:color="auto"/>
            </w:tcBorders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PBT (Post Extra-ord Items)</w:t>
            </w:r>
          </w:p>
        </w:tc>
        <w:tc>
          <w:tcPr>
            <w:tcW w:w="542" w:type="pct"/>
            <w:tcBorders>
              <w:top w:val="single" w:sz="4" w:space="0" w:color="auto"/>
            </w:tcBorders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2.29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2.70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2.81</w:t>
            </w:r>
          </w:p>
        </w:tc>
        <w:tc>
          <w:tcPr>
            <w:tcW w:w="584" w:type="pct"/>
            <w:tcBorders>
              <w:top w:val="single" w:sz="4" w:space="0" w:color="auto"/>
            </w:tcBorders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2.57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4.48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Tax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0.78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1.44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Reported Net Profit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1.51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1.86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1.93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1.79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3.06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Total Value Addition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12.58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11.46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11.24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9.74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10.12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Preference Dividend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Equity Dividend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0.81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Corporate Dividend Tax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</w:tr>
      <w:tr w:rsidR="00347F9B" w:rsidRPr="00347F9B" w:rsidTr="00347F9B">
        <w:trPr>
          <w:trHeight w:val="374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 share data (</w:t>
            </w: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annualized</w:t>
            </w: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0" w:type="pct"/>
            <w:vAlign w:val="center"/>
          </w:tcPr>
          <w:p w:rsidR="00347F9B" w:rsidRPr="00347F9B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Shares in issue (lakhs)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30.00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30.00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30.00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30.00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30.00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Earnings</w:t>
            </w: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Per Share (Rs)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5.03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6.19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6.43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5.98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10.19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Equity Dividend (%)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27.00</w:t>
            </w:r>
          </w:p>
        </w:tc>
      </w:tr>
      <w:tr w:rsidR="00347F9B" w:rsidRPr="00347F9B" w:rsidTr="00347F9B">
        <w:trPr>
          <w:trHeight w:val="20"/>
        </w:trPr>
        <w:tc>
          <w:tcPr>
            <w:tcW w:w="2123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Book Value (Rs)</w:t>
            </w:r>
          </w:p>
        </w:tc>
        <w:tc>
          <w:tcPr>
            <w:tcW w:w="542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67.39</w:t>
            </w:r>
          </w:p>
        </w:tc>
        <w:tc>
          <w:tcPr>
            <w:tcW w:w="561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64.46</w:t>
            </w:r>
          </w:p>
        </w:tc>
        <w:tc>
          <w:tcPr>
            <w:tcW w:w="56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59.66</w:t>
            </w:r>
          </w:p>
        </w:tc>
        <w:tc>
          <w:tcPr>
            <w:tcW w:w="584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54.63</w:t>
            </w:r>
          </w:p>
        </w:tc>
        <w:tc>
          <w:tcPr>
            <w:tcW w:w="630" w:type="pct"/>
            <w:vAlign w:val="center"/>
          </w:tcPr>
          <w:p w:rsidR="00347F9B" w:rsidRPr="00555282" w:rsidRDefault="00347F9B" w:rsidP="00347F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5282">
              <w:rPr>
                <w:rFonts w:ascii="Times New Roman" w:eastAsia="Times New Roman" w:hAnsi="Times New Roman" w:cs="Times New Roman"/>
                <w:color w:val="000000"/>
              </w:rPr>
              <w:t>50.04</w:t>
            </w:r>
          </w:p>
        </w:tc>
      </w:tr>
    </w:tbl>
    <w:p w:rsidR="00347F9B" w:rsidRPr="00347F9B" w:rsidRDefault="00347F9B" w:rsidP="00347F9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47F9B">
        <w:rPr>
          <w:rFonts w:ascii="Times New Roman" w:hAnsi="Times New Roman" w:cs="Times New Roman"/>
          <w:b/>
          <w:sz w:val="36"/>
          <w:u w:val="single"/>
        </w:rPr>
        <w:t>ANNEXURE</w:t>
      </w:r>
    </w:p>
    <w:p w:rsidR="00012C1B" w:rsidRDefault="00347F9B" w:rsidP="00347F9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347F9B">
        <w:rPr>
          <w:rFonts w:ascii="Times New Roman" w:hAnsi="Times New Roman" w:cs="Times New Roman"/>
          <w:b/>
          <w:sz w:val="32"/>
          <w:u w:val="single"/>
        </w:rPr>
        <w:t>TABLE SHOWING THE PROFIT AND LOSS ACCOUNT OF LSQUARE ECO PRODUCTS PVT.</w:t>
      </w:r>
      <w:proofErr w:type="gramEnd"/>
      <w:r w:rsidRPr="00347F9B">
        <w:rPr>
          <w:rFonts w:ascii="Times New Roman" w:hAnsi="Times New Roman" w:cs="Times New Roman"/>
          <w:b/>
          <w:sz w:val="32"/>
          <w:u w:val="single"/>
        </w:rPr>
        <w:t xml:space="preserve"> LTD.</w:t>
      </w:r>
    </w:p>
    <w:p w:rsidR="00347F9B" w:rsidRPr="00347F9B" w:rsidRDefault="00347F9B" w:rsidP="00347F9B">
      <w:pPr>
        <w:rPr>
          <w:rFonts w:ascii="Times New Roman" w:hAnsi="Times New Roman" w:cs="Times New Roman"/>
          <w:b/>
          <w:sz w:val="32"/>
          <w:u w:val="single"/>
        </w:rPr>
      </w:pPr>
    </w:p>
    <w:sectPr w:rsidR="00347F9B" w:rsidRPr="00347F9B" w:rsidSect="0001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F9B"/>
    <w:rsid w:val="00012C1B"/>
    <w:rsid w:val="0034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F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Prince</dc:creator>
  <cp:lastModifiedBy>Priya Prince</cp:lastModifiedBy>
  <cp:revision>1</cp:revision>
  <dcterms:created xsi:type="dcterms:W3CDTF">2016-03-11T16:00:00Z</dcterms:created>
  <dcterms:modified xsi:type="dcterms:W3CDTF">2016-03-11T16:18:00Z</dcterms:modified>
</cp:coreProperties>
</file>