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before="800" w:after="60"/>
        <w:jc w:val="center"/>
      </w:pPr>
      <w:r>
        <w:rPr>
          <w:rFonts w:ascii="Calibri" w:cs="Calibri" w:eastAsia="Calibri" w:hAnsi="Calibri"/>
          <w:b/>
          <w:bCs/>
          <w:caps/>
          <w:color w:val="888888"/>
          <w:sz w:val="28"/>
          <w:szCs w:val="28"/>
        </w:rPr>
        <w:t xml:space="preserve">S2 SOFTWARE SOLUTIONS PVT LTD</w:t>
      </w:r>
    </w:p>
    <w:p>
      <w:pPr>
        <w:spacing w:after="60"/>
        <w:jc w:val="center"/>
      </w:pPr>
      <w:r>
        <w:rPr>
          <w:rFonts w:ascii="Calibri" w:cs="Calibri" w:eastAsia="Calibri" w:hAnsi="Calibri"/>
          <w:color w:val="888888"/>
          <w:sz w:val="20"/>
          <w:szCs w:val="20"/>
        </w:rPr>
        <w:t xml:space="preserve">Hyderabad, India  |  Dec 2016 – Oct 2019</w:t>
      </w:r>
    </w:p>
    <w:p>
      <w:pPr>
        <w:spacing w:after="320"/>
        <w:jc w:val="center"/>
      </w:pPr>
      <w:r>
        <w:rPr>
          <w:rFonts w:ascii="Calibri" w:cs="Calibri" w:eastAsia="Calibri" w:hAnsi="Calibri"/>
          <w:b/>
          <w:bCs/>
          <w:color w:val="2C6FAC"/>
          <w:sz w:val="22"/>
          <w:szCs w:val="22"/>
        </w:rPr>
        <w:t xml:space="preserve">Business Analyst / Junior Tester</w:t>
      </w:r>
    </w:p>
    <w:p>
      <w:pPr>
        <w:spacing w:after="80"/>
        <w:jc w:val="center"/>
      </w:pPr>
      <w:r>
        <w:rPr>
          <w:rFonts w:ascii="Calibri" w:cs="Calibri" w:eastAsia="Calibri" w:hAnsi="Calibri"/>
          <w:b/>
          <w:bCs/>
          <w:color w:val="1B3A5C"/>
          <w:sz w:val="56"/>
          <w:szCs w:val="56"/>
        </w:rPr>
        <w:t xml:space="preserve">BUSINESS REQUIREMENTS
&amp; TEST SCENARIOS</w:t>
      </w:r>
    </w:p>
    <w:p>
      <w:pPr>
        <w:spacing w:after="80"/>
        <w:jc w:val="center"/>
      </w:pPr>
      <w:r>
        <w:rPr>
          <w:rFonts w:ascii="Calibri" w:cs="Calibri" w:eastAsia="Calibri" w:hAnsi="Calibri"/>
          <w:color w:val="2C6FAC"/>
          <w:sz w:val="26"/>
          <w:szCs w:val="26"/>
        </w:rPr>
        <w:t xml:space="preserve">Requirements Traceability Matrix (RTM)</w:t>
      </w:r>
    </w:p>
    <w:p>
      <w:pPr>
        <w:spacing w:after="60"/>
        <w:jc w:val="center"/>
      </w:pPr>
      <w:r>
        <w:rPr>
          <w:rFonts w:ascii="Calibri" w:cs="Calibri" w:eastAsia="Calibri" w:hAnsi="Calibri"/>
          <w:color w:val="888888"/>
          <w:sz w:val="18"/>
          <w:szCs w:val="18"/>
        </w:rPr>
        <w:t xml:space="preserve">Ref: S2-BA-2018-RTM02  |  Version 1.3  |  Author: BA / QA Analyst  |  S2 Software Solutions Pvt Ltd</w:t>
      </w:r>
    </w:p>
    <w:p>
      <w:pPr>
        <w:spacing w:after="60"/>
        <w:jc w:val="center"/>
      </w:pPr>
      <w:r>
        <w:rPr>
          <w:rFonts w:ascii="Calibri" w:cs="Calibri" w:eastAsia="Calibri" w:hAnsi="Calibri"/>
          <w:i/>
          <w:iCs/>
          <w:color w:val="888888"/>
          <w:sz w:val="18"/>
          <w:szCs w:val="18"/>
        </w:rPr>
        <w:t xml:space="preserve">E-Commerce Platform | B2B &amp; B2C | OMS | PCM | CX Solutions</w:t>
      </w:r>
    </w:p>
    <w:p>
      <w:pPr>
        <w:spacing w:after="80"/>
      </w:pPr>
      <w:r>
        <w:t xml:space="preserve"/>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1. Document Purpose</w:t>
      </w:r>
    </w:p>
    <w:p>
      <w:pPr>
        <w:spacing w:after="100"/>
      </w:pPr>
      <w:r>
        <w:rPr>
          <w:rFonts w:ascii="Calibri" w:cs="Calibri" w:eastAsia="Calibri" w:hAnsi="Calibri"/>
          <w:color w:val="555555"/>
          <w:sz w:val="18"/>
          <w:szCs w:val="18"/>
        </w:rPr>
        <w:t xml:space="preserve">This Requirements Traceability Matrix (RTM) was prepared at S2 Software Solutions Pvt Ltd, Hyderabad, to map each approved business requirement for the e-commerce platform relaunch to one or more structured functional test scenarios. It was used as the primary traceability artefact throughout Functional Testing, Integration Testing, and UAT phases (2018), ensuring complete requirements coverage and enabling efficient defect root-cause analysis.</w:t>
      </w:r>
    </w:p>
    <w:p>
      <w:pPr>
        <w:spacing w:after="100"/>
      </w:pPr>
      <w:r>
        <w:rPr>
          <w:rFonts w:ascii="Calibri" w:cs="Calibri" w:eastAsia="Calibri" w:hAnsi="Calibri"/>
          <w:color w:val="555555"/>
          <w:sz w:val="18"/>
          <w:szCs w:val="18"/>
        </w:rPr>
        <w:t xml:space="preserve">Business requirements were gathered through stakeholder workshops and one-to-one clarification sessions with the Product Owner, Operations Manager, and B2B Sales team. Each requirement was classified by MoSCoW priority and reviewed by the QA Lead before test scenarios were authored.</w:t>
      </w:r>
    </w:p>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2. Requirements Traceability Matrix</w:t>
      </w:r>
    </w:p>
    <w:p>
      <w:pPr>
        <w:spacing w:after="100"/>
      </w:pPr>
      <w:r>
        <w:rPr>
          <w:rFonts w:ascii="Calibri" w:cs="Calibri" w:eastAsia="Calibri" w:hAnsi="Calibri"/>
          <w:color w:val="555555"/>
          <w:sz w:val="18"/>
          <w:szCs w:val="18"/>
        </w:rPr>
        <w:t xml:space="preserve">Priority: Must Have = critical for go-live  |  Should Have = important, deferrable  |  Nice to Have = future sprint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10"/>
        <w:gridCol w:w="900"/>
        <w:gridCol w:w="2970"/>
        <w:gridCol w:w="4680"/>
      </w:tblGrid>
      <w:tr>
        <w:trPr>
          <w:tblHeader/>
        </w:trPr>
        <w:tc>
          <w:tcPr>
            <w:tcW w:type="dxa" w:w="81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BR ID</w:t>
            </w:r>
          </w:p>
        </w:tc>
        <w:tc>
          <w:tcPr>
            <w:tcW w:type="dxa" w:w="9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Priority</w:t>
            </w:r>
          </w:p>
        </w:tc>
        <w:tc>
          <w:tcPr>
            <w:tcW w:type="dxa" w:w="297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Business Requirement</w:t>
            </w:r>
          </w:p>
        </w:tc>
        <w:tc>
          <w:tcPr>
            <w:tcW w:type="dxa" w:w="468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Functional Test Scenario(s)</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BR-001</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The platform shall allow B2C customers to complete a purchase without creating an account (guest checkout).</w:t>
            </w:r>
          </w:p>
        </w:tc>
        <w:tc>
          <w:tcPr>
            <w:tcW w:type="dxa" w:w="46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Guest enters email, delivery address, and valid card — order confirmed and email received. NEGATIVE: Missing email field shows inline validation error; checkout blocked until corrected.</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BR-002</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The platform shall allow B2B clients to submit bulk orders via CSV upload with a mandatory Purchase Order (PO) reference number.</w:t>
            </w:r>
          </w:p>
        </w:tc>
        <w:tc>
          <w:tcPr>
            <w:tcW w:type="dxa" w:w="46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B2B user uploads valid 50-row CSV with PO# — order created and approval workflow triggered. NEGATIVE: CSV missing 'qty' column returns named-field error; no order created. NEGATIVE: Empty PO# field blocks submission.</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BR-003</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Product pages must display real-time inventory status; out-of-stock items shall disable the Add-to-Cart control on all device breakpoints.</w:t>
            </w:r>
          </w:p>
        </w:tc>
        <w:tc>
          <w:tcPr>
            <w:tcW w:type="dxa" w:w="46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In-stock product — Add-to-Cart enabled. NEGATIVE: OOS product — badge shown, button disabled on desktop and mobile (375 px). REGRESSION: Status updates within 60s of stock change in inventory system.</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BR-004</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Orders placed on the storefront shall synchronise to the ERP system within 5 minutes of creation.</w:t>
            </w:r>
          </w:p>
        </w:tc>
        <w:tc>
          <w:tcPr>
            <w:tcW w:type="dxa" w:w="46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Place order — verify ERP record with matching ID, total, and line items within 5 min. NEGATIVE: Simulate middleware outage — verify retry mechanism triggers and ops alert raised. BOUNDARY: High-value order (&gt;₹50,000) meets same SLA.</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BR-005</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 payment failure shall not result in an order record being created in the OMS.</w:t>
            </w:r>
          </w:p>
        </w:tc>
        <w:tc>
          <w:tcPr>
            <w:tcW w:type="dxa" w:w="46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Valid card — order created. NEGATIVE: Declined card (test token) — no OMS record; explicit error message displayed; user offered retry. NEGATIVE: Network timeout during payment — order status remains 'Pending Payment', not 'Paid'.</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BR-006</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Promotional codes shall be validated for expiry date, single-use restriction, and minimum order value before application.</w:t>
            </w:r>
          </w:p>
        </w:tc>
        <w:tc>
          <w:tcPr>
            <w:tcW w:type="dxa" w:w="46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Valid code above minimum — discount applied, savings shown. NEGATIVE: Expired code — error 'This code has expired'. NEGATIVE: Already-used single-use code — error 'Code already redeemed'. NEGATIVE: Order below minimum — error showing shortfall amount.</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BR-007</w:t>
            </w:r>
          </w:p>
        </w:tc>
        <w:tc>
          <w:tcPr>
            <w:tcW w:type="dxa" w:w="90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Should Have</w:t>
            </w:r>
          </w:p>
        </w:tc>
        <w:tc>
          <w:tcPr>
            <w:tcW w:type="dxa" w:w="29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Registered customers shall be able to view their complete order history with order status and shipment tracking links.</w:t>
            </w:r>
          </w:p>
        </w:tc>
        <w:tc>
          <w:tcPr>
            <w:tcW w:type="dxa" w:w="46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User with 5 orders — all listed with date, amount, status, tracking link. NEGATIVE: New user with no orders — empty state message shown (not blank page). NEGATIVE: Cancelled order — shows 'Cancelled' status; no tracking link.</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BR-008</w:t>
            </w:r>
          </w:p>
        </w:tc>
        <w:tc>
          <w:tcPr>
            <w:tcW w:type="dxa" w:w="90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Should Have</w:t>
            </w:r>
          </w:p>
        </w:tc>
        <w:tc>
          <w:tcPr>
            <w:tcW w:type="dxa" w:w="29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The platform shall support customer-initiated return requests from the account portal, generating an RMA number and confirmation email.</w:t>
            </w:r>
          </w:p>
        </w:tc>
        <w:tc>
          <w:tcPr>
            <w:tcW w:type="dxa" w:w="46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Delivered order — return initiated, RMA displayed, email received within 2 min. NEGATIVE: Order in 'Shipped' status — Return button greyed out; tooltip explains eligibility. NEGATIVE: Return window exceeded (&gt;30 days) — request blocked with policy message.</w:t>
            </w:r>
          </w:p>
        </w:tc>
      </w:tr>
      <w:tr>
        <w:tc>
          <w:tcPr>
            <w:tcW w:type="dxa" w:w="81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BR-009</w:t>
            </w:r>
          </w:p>
        </w:tc>
        <w:tc>
          <w:tcPr>
            <w:tcW w:type="dxa" w:w="90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Must Have</w:t>
            </w:r>
          </w:p>
        </w:tc>
        <w:tc>
          <w:tcPr>
            <w:tcW w:type="dxa" w:w="297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Migrated customer and order records from the legacy system shall match source data with no loss on mandatory fields.</w:t>
            </w:r>
          </w:p>
        </w:tc>
        <w:tc>
          <w:tcPr>
            <w:tcW w:type="dxa" w:w="46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Row counts match source. FIELD CHECK: Mandatory fields (email, order_total, order_status) non-null. REFERENTIAL: Order line items reference valid SKUs. NEGATIVE: Any mandatory field null — flagged in migration issues log.</w:t>
            </w:r>
          </w:p>
        </w:tc>
      </w:tr>
      <w:tr>
        <w:tc>
          <w:tcPr>
            <w:tcW w:type="dxa" w:w="81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BR-010</w:t>
            </w:r>
          </w:p>
        </w:tc>
        <w:tc>
          <w:tcPr>
            <w:tcW w:type="dxa" w:w="90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Should Have</w:t>
            </w:r>
          </w:p>
        </w:tc>
        <w:tc>
          <w:tcPr>
            <w:tcW w:type="dxa" w:w="297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The CX portal shall surface personalised product recommendations for logged-in customers based on purchase history.</w:t>
            </w:r>
          </w:p>
        </w:tc>
        <w:tc>
          <w:tcPr>
            <w:tcW w:type="dxa" w:w="46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POSITIVE: User with ≥3 orders — 'Recommended for You' section populated. NEGATIVE: New user — section hidden or replaced with 'Bestsellers'. VARIATION: Two users with different histories see different recommendations.</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3. Stakeholder RACI</w:t>
      </w:r>
    </w:p>
    <w:p>
      <w:pPr>
        <w:spacing w:after="100"/>
      </w:pPr>
      <w:r>
        <w:rPr>
          <w:rFonts w:ascii="Calibri" w:cs="Calibri" w:eastAsia="Calibri" w:hAnsi="Calibri"/>
          <w:color w:val="555555"/>
          <w:sz w:val="18"/>
          <w:szCs w:val="18"/>
        </w:rPr>
        <w:t xml:space="preserve">R = Responsible  |  A = Accountable  |  C = Consulted  |  I = Informed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260"/>
        <w:gridCol w:w="1260"/>
        <w:gridCol w:w="1260"/>
        <w:gridCol w:w="1260"/>
        <w:gridCol w:w="1440"/>
      </w:tblGrid>
      <w:tr>
        <w:trPr>
          <w:tblHeader/>
        </w:trPr>
        <w:tc>
          <w:tcPr>
            <w:tcW w:type="dxa" w:w="288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Activity</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BA / QA Analyst</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Dev Team</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Product Owner</w:t>
            </w:r>
          </w:p>
        </w:tc>
        <w:tc>
          <w:tcPr>
            <w:tcW w:type="dxa" w:w="126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UAT Users</w:t>
            </w:r>
          </w:p>
        </w:tc>
        <w:tc>
          <w:tcPr>
            <w:tcW w:type="dxa" w:w="144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Project Mgr</w:t>
            </w:r>
          </w:p>
        </w:tc>
      </w:tr>
      <w:tr>
        <w:tc>
          <w:tcPr>
            <w:tcW w:type="dxa" w:w="28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Requirements gathering &amp; workshop facilitation</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R/A</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r>
      <w:tr>
        <w:tc>
          <w:tcPr>
            <w:tcW w:type="dxa" w:w="28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Business requirement documentation</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26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A</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r>
      <w:tr>
        <w:tc>
          <w:tcPr>
            <w:tcW w:type="dxa" w:w="28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Test plan &amp; test case authoring</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A</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r>
      <w:tr>
        <w:tc>
          <w:tcPr>
            <w:tcW w:type="dxa" w:w="28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Functional &amp; integration test execution</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A</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r>
      <w:tr>
        <w:tc>
          <w:tcPr>
            <w:tcW w:type="dxa" w:w="28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Defect logging &amp; triage facilitation</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A</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44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r>
      <w:tr>
        <w:tc>
          <w:tcPr>
            <w:tcW w:type="dxa" w:w="28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Defect resolution &amp; fix verification</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A</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44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r>
      <w:tr>
        <w:tc>
          <w:tcPr>
            <w:tcW w:type="dxa" w:w="28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UAT co-ordination &amp; session facilitation</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26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260"/>
            <w:tcBorders>
              <w:top w:val="single" w:color="B0CDE4" w:sz="1"/>
              <w:left w:val="single" w:color="B0CDE4" w:sz="1"/>
              <w:bottom w:val="single" w:color="B0CDE4" w:sz="1"/>
              <w:right w:val="single" w:color="B0CDE4" w:sz="1"/>
            </w:tcBorders>
            <w:shd w:fill="2C6FA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A</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44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r>
      <w:tr>
        <w:tc>
          <w:tcPr>
            <w:tcW w:type="dxa" w:w="28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UAT sign-off</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555555"/>
                <w:sz w:val="17"/>
                <w:szCs w:val="17"/>
              </w:rPr>
              <w:t xml:space="preserve">I</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R/A</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c>
          <w:tcPr>
            <w:tcW w:type="dxa" w:w="144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r>
      <w:tr>
        <w:tc>
          <w:tcPr>
            <w:tcW w:type="dxa" w:w="28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bCs/>
                <w:color w:val="222222"/>
                <w:sz w:val="17"/>
                <w:szCs w:val="17"/>
              </w:rPr>
              <w:t xml:space="preserve">Go/No-Go recommendation</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26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R/A</w:t>
            </w:r>
          </w:p>
        </w:tc>
        <w:tc>
          <w:tcPr>
            <w:tcW w:type="dxa" w:w="1260"/>
            <w:tcBorders>
              <w:top w:val="single" w:color="B0CDE4" w:sz="1"/>
              <w:left w:val="single" w:color="B0CDE4" w:sz="1"/>
              <w:bottom w:val="single" w:color="B0CDE4" w:sz="1"/>
              <w:right w:val="single" w:color="B0CDE4" w:sz="1"/>
            </w:tcBorders>
            <w:shd w:fill="888888"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C</w:t>
            </w:r>
          </w:p>
        </w:tc>
        <w:tc>
          <w:tcPr>
            <w:tcW w:type="dxa" w:w="1440"/>
            <w:tcBorders>
              <w:top w:val="single" w:color="B0CDE4" w:sz="1"/>
              <w:left w:val="single" w:color="B0CDE4" w:sz="1"/>
              <w:bottom w:val="single" w:color="B0CDE4" w:sz="1"/>
              <w:right w:val="single" w:color="B0CDE4" w:sz="1"/>
            </w:tcBorders>
            <w:shd w:fill="1B3A5C" w:val="clear"/>
            <w:tcMar>
              <w:top w:type="dxa" w:w="60"/>
              <w:left w:type="dxa" w:w="110"/>
              <w:bottom w:type="dxa" w:w="60"/>
              <w:right w:type="dxa" w:w="110"/>
            </w:tcMar>
            <w:vAlign w:val="center"/>
          </w:tcPr>
          <w:p>
            <w:pPr>
              <w:jc w:val="center"/>
            </w:pPr>
            <w:r>
              <w:rPr>
                <w:rFonts w:ascii="Calibri" w:cs="Calibri" w:eastAsia="Calibri" w:hAnsi="Calibri"/>
                <w:b/>
                <w:bCs/>
                <w:color w:val="FFFFFF"/>
                <w:sz w:val="17"/>
                <w:szCs w:val="17"/>
              </w:rPr>
              <w:t xml:space="preserve">R</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4. Requirement Clarification Log</w:t>
      </w:r>
    </w:p>
    <w:p>
      <w:pPr>
        <w:spacing w:after="100"/>
      </w:pPr>
      <w:r>
        <w:rPr>
          <w:rFonts w:ascii="Calibri" w:cs="Calibri" w:eastAsia="Calibri" w:hAnsi="Calibri"/>
          <w:color w:val="555555"/>
          <w:sz w:val="18"/>
          <w:szCs w:val="18"/>
        </w:rPr>
        <w:t xml:space="preserve">The following clarifications were raised and resolved with stakeholders during requirements analysis. Each clarification was documented in the project wiki and the resolved decision reflected in the relevant BR entry above.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2520"/>
        <w:gridCol w:w="1800"/>
        <w:gridCol w:w="3780"/>
      </w:tblGrid>
      <w:tr>
        <w:trPr>
          <w:tblHeader/>
        </w:trPr>
        <w:tc>
          <w:tcPr>
            <w:tcW w:type="dxa" w:w="63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RC ID</w:t>
            </w:r>
          </w:p>
        </w:tc>
        <w:tc>
          <w:tcPr>
            <w:tcW w:type="dxa" w:w="63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BR Ref</w:t>
            </w:r>
          </w:p>
        </w:tc>
        <w:tc>
          <w:tcPr>
            <w:tcW w:type="dxa" w:w="252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Clarification Raised</w:t>
            </w:r>
          </w:p>
        </w:tc>
        <w:tc>
          <w:tcPr>
            <w:tcW w:type="dxa" w:w="180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Stakeholders</w:t>
            </w:r>
          </w:p>
        </w:tc>
        <w:tc>
          <w:tcPr>
            <w:tcW w:type="dxa" w:w="3780"/>
            <w:tcBorders>
              <w:top w:val="single" w:color="2C6FAC" w:sz="1"/>
              <w:left w:val="single" w:color="2C6FAC" w:sz="1"/>
              <w:bottom w:val="single" w:color="2C6FAC" w:sz="1"/>
              <w:right w:val="single" w:color="2C6FAC" w:sz="1"/>
            </w:tcBorders>
            <w:shd w:fill="1B3A5C" w:val="clear"/>
            <w:tcMar>
              <w:top w:type="dxa" w:w="80"/>
              <w:left w:type="dxa" w:w="130"/>
              <w:bottom w:type="dxa" w:w="80"/>
              <w:right w:type="dxa" w:w="130"/>
            </w:tcMar>
            <w:vAlign w:val="center"/>
          </w:tcPr>
          <w:p>
            <w:pPr>
              <w:jc w:val="center"/>
            </w:pPr>
            <w:r>
              <w:rPr>
                <w:rFonts w:ascii="Calibri" w:cs="Calibri" w:eastAsia="Calibri" w:hAnsi="Calibri"/>
                <w:b/>
                <w:bCs/>
                <w:color w:val="FFFFFF"/>
                <w:sz w:val="18"/>
                <w:szCs w:val="18"/>
              </w:rPr>
              <w:t xml:space="preserve">Resolution</w:t>
            </w:r>
          </w:p>
        </w:tc>
      </w:tr>
      <w:tr>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RC-001</w:t>
            </w:r>
          </w:p>
        </w:tc>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BR-002</w:t>
            </w:r>
          </w:p>
        </w:tc>
        <w:tc>
          <w:tcPr>
            <w:tcW w:type="dxa" w:w="25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What is the maximum CSV row limit for B2B bulk upload?</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Product Owner + Dev Lead</w:t>
            </w:r>
          </w:p>
        </w:tc>
        <w:tc>
          <w:tcPr>
            <w:tcW w:type="dxa" w:w="37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Agreed limit: 500 rows per upload. Error message required for files exceeding limit. (Resolved 14 Mar 2018)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2520"/>
        <w:gridCol w:w="1800"/>
        <w:gridCol w:w="3780"/>
      </w:tblGrid>
      <w:tr>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RC-002</w:t>
            </w:r>
          </w:p>
        </w:tc>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BR-004</w:t>
            </w:r>
          </w:p>
        </w:tc>
        <w:tc>
          <w:tcPr>
            <w:tcW w:type="dxa" w:w="25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Does the 5-minute ERP sync SLA apply to high-value orders (&gt;₹50,000)?</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Integration Architect + Ops Manager</w:t>
            </w:r>
          </w:p>
        </w:tc>
        <w:tc>
          <w:tcPr>
            <w:tcW w:type="dxa" w:w="37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Confirmed: SLA applies uniformly; high-value orders are flagged in ERP but must sync within same window. (Resolved 20 Mar 2018)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2520"/>
        <w:gridCol w:w="1800"/>
        <w:gridCol w:w="3780"/>
      </w:tblGrid>
      <w:tr>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RC-003</w:t>
            </w:r>
          </w:p>
        </w:tc>
        <w:tc>
          <w:tcPr>
            <w:tcW w:type="dxa" w:w="63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BR-006</w:t>
            </w:r>
          </w:p>
        </w:tc>
        <w:tc>
          <w:tcPr>
            <w:tcW w:type="dxa" w:w="252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Should a promo code below minimum order value silently fail or show the shortfall?</w:t>
            </w:r>
          </w:p>
        </w:tc>
        <w:tc>
          <w:tcPr>
            <w:tcW w:type="dxa" w:w="180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Product Owner</w:t>
            </w:r>
          </w:p>
        </w:tc>
        <w:tc>
          <w:tcPr>
            <w:tcW w:type="dxa" w:w="3780"/>
            <w:tcBorders>
              <w:top w:val="single" w:color="B0CDE4" w:sz="1"/>
              <w:left w:val="single" w:color="B0CDE4" w:sz="1"/>
              <w:bottom w:val="single" w:color="B0CDE4" w:sz="1"/>
              <w:right w:val="single" w:color="B0CDE4" w:sz="1"/>
            </w:tcBorders>
            <w:shd w:fill="FFFFFF"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Show shortfall: 'Add ₹X more to use this code.' Silent failure not acceptable. (Resolved 22 Mar 2018)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
        <w:gridCol w:w="630"/>
        <w:gridCol w:w="2520"/>
        <w:gridCol w:w="1800"/>
        <w:gridCol w:w="3780"/>
      </w:tblGrid>
      <w:tr>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bCs/>
                <w:color w:val="222222"/>
                <w:sz w:val="17"/>
                <w:szCs w:val="17"/>
              </w:rPr>
              <w:t xml:space="preserve">RC-004</w:t>
            </w:r>
          </w:p>
        </w:tc>
        <w:tc>
          <w:tcPr>
            <w:tcW w:type="dxa" w:w="63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center"/>
            </w:pPr>
            <w:r>
              <w:rPr>
                <w:rFonts w:ascii="Calibri" w:cs="Calibri" w:eastAsia="Calibri" w:hAnsi="Calibri"/>
                <w:b w:val="false"/>
                <w:bCs w:val="false"/>
                <w:color w:val="222222"/>
                <w:sz w:val="17"/>
                <w:szCs w:val="17"/>
              </w:rPr>
              <w:t xml:space="preserve">BR-008</w:t>
            </w:r>
          </w:p>
        </w:tc>
        <w:tc>
          <w:tcPr>
            <w:tcW w:type="dxa" w:w="252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What is the return eligibility window?</w:t>
            </w:r>
          </w:p>
        </w:tc>
        <w:tc>
          <w:tcPr>
            <w:tcW w:type="dxa" w:w="180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Operations Manager</w:t>
            </w:r>
          </w:p>
        </w:tc>
        <w:tc>
          <w:tcPr>
            <w:tcW w:type="dxa" w:w="3780"/>
            <w:tcBorders>
              <w:top w:val="single" w:color="B0CDE4" w:sz="1"/>
              <w:left w:val="single" w:color="B0CDE4" w:sz="1"/>
              <w:bottom w:val="single" w:color="B0CDE4" w:sz="1"/>
              <w:right w:val="single" w:color="B0CDE4" w:sz="1"/>
            </w:tcBorders>
            <w:shd w:fill="EEF5FC" w:val="clear"/>
            <w:tcMar>
              <w:top w:type="dxa" w:w="60"/>
              <w:left w:type="dxa" w:w="110"/>
              <w:bottom w:type="dxa" w:w="60"/>
              <w:right w:type="dxa" w:w="110"/>
            </w:tcMar>
            <w:vAlign w:val="center"/>
          </w:tcPr>
          <w:p>
            <w:pPr>
              <w:jc w:val="left"/>
            </w:pPr>
            <w:r>
              <w:rPr>
                <w:rFonts w:ascii="Calibri" w:cs="Calibri" w:eastAsia="Calibri" w:hAnsi="Calibri"/>
                <w:b w:val="false"/>
                <w:bCs w:val="false"/>
                <w:color w:val="222222"/>
                <w:sz w:val="17"/>
                <w:szCs w:val="17"/>
              </w:rPr>
              <w:t xml:space="preserve">30 calendar days from delivery confirmation. System must enforce this automatically. (Resolved 28 Mar 2018)</w:t>
            </w:r>
          </w:p>
        </w:tc>
      </w:tr>
    </w:tbl>
    <w:p>
      <w:pPr>
        <w:spacing w:after="80"/>
      </w:pPr>
      <w:r>
        <w:t xml:space="preserve"/>
      </w:r>
    </w:p>
    <w:p>
      <w:pPr>
        <w:pBdr>
          <w:bottom w:val="single" w:color="2C6FAC" w:sz="8" w:space="5"/>
        </w:pBdr>
        <w:spacing w:before="300" w:after="140"/>
      </w:pPr>
      <w:r>
        <w:rPr>
          <w:rFonts w:ascii="Calibri" w:cs="Calibri" w:eastAsia="Calibri" w:hAnsi="Calibri"/>
          <w:b/>
          <w:bCs/>
          <w:color w:val="1B3A5C"/>
          <w:sz w:val="28"/>
          <w:szCs w:val="28"/>
        </w:rPr>
        <w:t xml:space="preserve">5. Assumptions &amp; Constraints</w:t>
      </w:r>
    </w:p>
    <w:p>
      <w:pPr>
        <w:pStyle w:val="ListParagraph"/>
        <w:numPr>
          <w:ilvl w:val="0"/>
          <w:numId w:val="2"/>
        </w:numPr>
      </w:pPr>
      <w:r>
        <w:rPr>
          <w:rFonts w:ascii="Calibri" w:cs="Calibri" w:eastAsia="Calibri" w:hAnsi="Calibri"/>
          <w:color w:val="555555"/>
          <w:sz w:val="18"/>
          <w:szCs w:val="18"/>
        </w:rPr>
        <w:t xml:space="preserve">All testing conducted in the Staging environment, which mirrors the Production database snapshot taken at Sprint 3 code freeze.</w:t>
      </w:r>
    </w:p>
    <w:p>
      <w:pPr>
        <w:pStyle w:val="ListParagraph"/>
        <w:numPr>
          <w:ilvl w:val="0"/>
          <w:numId w:val="2"/>
        </w:numPr>
      </w:pPr>
      <w:r>
        <w:rPr>
          <w:rFonts w:ascii="Calibri" w:cs="Calibri" w:eastAsia="Calibri" w:hAnsi="Calibri"/>
          <w:color w:val="555555"/>
          <w:sz w:val="18"/>
          <w:szCs w:val="18"/>
        </w:rPr>
        <w:t xml:space="preserve">B2B account configurations (credit limits, approval thresholds, PO validation rules) provisioned by the Platform Admin team before test execution.</w:t>
      </w:r>
    </w:p>
    <w:p>
      <w:pPr>
        <w:pStyle w:val="ListParagraph"/>
        <w:numPr>
          <w:ilvl w:val="0"/>
          <w:numId w:val="2"/>
        </w:numPr>
      </w:pPr>
      <w:r>
        <w:rPr>
          <w:rFonts w:ascii="Calibri" w:cs="Calibri" w:eastAsia="Calibri" w:hAnsi="Calibri"/>
          <w:color w:val="555555"/>
          <w:sz w:val="18"/>
          <w:szCs w:val="18"/>
        </w:rPr>
        <w:t xml:space="preserve">Payment gateway (Razorpay) test credentials supplied by the integration team; no live card data was used at any stage.</w:t>
      </w:r>
    </w:p>
    <w:p>
      <w:pPr>
        <w:pStyle w:val="ListParagraph"/>
        <w:numPr>
          <w:ilvl w:val="0"/>
          <w:numId w:val="2"/>
        </w:numPr>
      </w:pPr>
      <w:r>
        <w:rPr>
          <w:rFonts w:ascii="Calibri" w:cs="Calibri" w:eastAsia="Calibri" w:hAnsi="Calibri"/>
          <w:color w:val="555555"/>
          <w:sz w:val="18"/>
          <w:szCs w:val="18"/>
        </w:rPr>
        <w:t xml:space="preserve">UAT participants were nominated by the business and attended a 30-minute briefing session before test execution.</w:t>
      </w:r>
    </w:p>
    <w:p>
      <w:pPr>
        <w:pStyle w:val="ListParagraph"/>
        <w:numPr>
          <w:ilvl w:val="0"/>
          <w:numId w:val="2"/>
        </w:numPr>
      </w:pPr>
      <w:r>
        <w:rPr>
          <w:rFonts w:ascii="Calibri" w:cs="Calibri" w:eastAsia="Calibri" w:hAnsi="Calibri"/>
          <w:color w:val="555555"/>
          <w:sz w:val="18"/>
          <w:szCs w:val="18"/>
        </w:rPr>
        <w:t xml:space="preserve">Any requirement marked 'Must Have' is treated as a go-live blocker; unresolved defects against Must Have requirements trigger a No-Go recommendation.</w:t>
      </w:r>
    </w:p>
    <w:p>
      <w:pPr>
        <w:pStyle w:val="ListParagraph"/>
        <w:numPr>
          <w:ilvl w:val="0"/>
          <w:numId w:val="2"/>
        </w:numPr>
      </w:pPr>
      <w:r>
        <w:rPr>
          <w:rFonts w:ascii="Calibri" w:cs="Calibri" w:eastAsia="Calibri" w:hAnsi="Calibri"/>
          <w:color w:val="555555"/>
          <w:sz w:val="18"/>
          <w:szCs w:val="18"/>
        </w:rPr>
        <w:t xml:space="preserve">This RTM covers functional scope only; non-functional requirements (performance, security) are managed under a separate test plan.</w:t>
      </w:r>
    </w:p>
    <w:sectPr>
      <w:headerReference w:type="default" r:id="rId6"/>
      <w:footerReference w:type="default" r:id="rId7"/>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FAC" w:sz="6" w:space="4"/>
      </w:pBdr>
      <w:tabs>
        <w:tab w:val="right" w:pos="9360"/>
      </w:tabs>
    </w:pPr>
    <w:r>
      <w:rPr>
        <w:rFonts w:ascii="Calibri" w:cs="Calibri" w:eastAsia="Calibri" w:hAnsi="Calibri"/>
        <w:color w:val="888888"/>
        <w:sz w:val="16"/>
        <w:szCs w:val="16"/>
      </w:rPr>
      <w:t xml:space="preserve">Business Analyst / Junior Tester  |  Work Sample Portfolio</w:t>
    </w:r>
    <w:r>
      <w:rPr>
        <w:rFonts w:ascii="Calibri" w:cs="Calibri" w:eastAsia="Calibri" w:hAnsi="Calibri"/>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FAC" w:sz="6" w:space="4"/>
      </w:pBdr>
      <w:tabs>
        <w:tab w:val="right" w:pos="9360"/>
      </w:tabs>
    </w:pPr>
    <w:r>
      <w:rPr>
        <w:rFonts w:ascii="Calibri" w:cs="Calibri" w:eastAsia="Calibri" w:hAnsi="Calibri"/>
        <w:b/>
        <w:bCs/>
        <w:color w:val="1B3A5C"/>
        <w:sz w:val="18"/>
        <w:szCs w:val="18"/>
      </w:rPr>
      <w:t xml:space="preserve">Business Requirements &amp; Functional Test Scenarios — S2 Software Solutions</w:t>
    </w:r>
    <w:r>
      <w:rPr>
        <w:rFonts w:ascii="Calibri" w:cs="Calibri" w:eastAsia="Calibri" w:hAnsi="Calibri"/>
        <w:i/>
        <w:iCs/>
        <w:color w:val="888888"/>
        <w:sz w:val="16"/>
        <w:szCs w:val="16"/>
      </w:rPr>
      <w:t xml:space="preserve">	S2 Software Solutions Pvt Ltd  |  Hyderabad  |  Dec 2016 – Oct 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70"/>
        <w:ind w:left="720" w:hanging="360"/>
      </w:pPr>
    </w:lvl>
  </w:abstractNum>
  <w:abstractNum w:abstractNumId="3" w15:restartNumberingAfterBreak="0">
    <w:multiLevelType w:val="hybridMultilevel"/>
    <w:lvl w:ilvl="0" w15:tentative="1">
      <w:start w:val="1"/>
      <w:numFmt w:val="decimal"/>
      <w:lvlText w:val="%1."/>
      <w:lvlJc w:val="left"/>
      <w:pPr>
        <w:spacing w:after="7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2026-03-12T04:27:25.928Z</dcterms:created>
  <dcterms:modified xsi:type="dcterms:W3CDTF">2026-03-12T04:27:25.928Z</dcterms:modified>
</cp:coreProperties>
</file>

<file path=docProps/custom.xml><?xml version="1.0" encoding="utf-8"?>
<Properties xmlns="http://schemas.openxmlformats.org/officeDocument/2006/custom-properties" xmlns:vt="http://schemas.openxmlformats.org/officeDocument/2006/docPropsVTypes"/>
</file>