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before="800" w:after="60"/>
        <w:jc w:val="center"/>
      </w:pPr>
      <w:r>
        <w:rPr>
          <w:rFonts w:ascii="Calibri" w:cs="Calibri" w:eastAsia="Calibri" w:hAnsi="Calibri"/>
          <w:b/>
          <w:bCs/>
          <w:caps/>
          <w:color w:val="888888"/>
          <w:sz w:val="28"/>
          <w:szCs w:val="28"/>
        </w:rPr>
        <w:t xml:space="preserve">S2 SOFTWARE SOLUTIONS PVT LTD</w:t>
      </w:r>
    </w:p>
    <w:p>
      <w:pPr>
        <w:spacing w:after="60"/>
        <w:jc w:val="center"/>
      </w:pPr>
      <w:r>
        <w:rPr>
          <w:rFonts w:ascii="Calibri" w:cs="Calibri" w:eastAsia="Calibri" w:hAnsi="Calibri"/>
          <w:color w:val="888888"/>
          <w:sz w:val="20"/>
          <w:szCs w:val="20"/>
        </w:rPr>
        <w:t xml:space="preserve">Hyderabad, India  |  Dec 2016 – Oct 2019</w:t>
      </w:r>
    </w:p>
    <w:p>
      <w:pPr>
        <w:spacing w:after="320"/>
        <w:jc w:val="center"/>
      </w:pPr>
      <w:r>
        <w:rPr>
          <w:rFonts w:ascii="Calibri" w:cs="Calibri" w:eastAsia="Calibri" w:hAnsi="Calibri"/>
          <w:b/>
          <w:bCs/>
          <w:color w:val="2C6FAC"/>
          <w:sz w:val="22"/>
          <w:szCs w:val="22"/>
        </w:rPr>
        <w:t xml:space="preserve">Business Analyst / Junior Tester</w:t>
      </w:r>
    </w:p>
    <w:p>
      <w:pPr>
        <w:spacing w:after="80"/>
        <w:jc w:val="center"/>
      </w:pPr>
      <w:r>
        <w:rPr>
          <w:rFonts w:ascii="Calibri" w:cs="Calibri" w:eastAsia="Calibri" w:hAnsi="Calibri"/>
          <w:b/>
          <w:bCs/>
          <w:color w:val="1B3A5C"/>
          <w:sz w:val="56"/>
          <w:szCs w:val="56"/>
        </w:rPr>
        <w:t xml:space="preserve">DATA MIGRATION
VALIDATION REPORT</w:t>
      </w:r>
    </w:p>
    <w:p>
      <w:pPr>
        <w:spacing w:after="80"/>
        <w:jc w:val="center"/>
      </w:pPr>
      <w:r>
        <w:rPr>
          <w:rFonts w:ascii="Calibri" w:cs="Calibri" w:eastAsia="Calibri" w:hAnsi="Calibri"/>
          <w:color w:val="2C6FAC"/>
          <w:sz w:val="26"/>
          <w:szCs w:val="26"/>
        </w:rPr>
        <w:t xml:space="preserve">Legacy OMS → New E-Commerce Platform</w:t>
      </w:r>
    </w:p>
    <w:p>
      <w:pPr>
        <w:spacing w:after="60"/>
        <w:jc w:val="center"/>
      </w:pPr>
      <w:r>
        <w:rPr>
          <w:rFonts w:ascii="Calibri" w:cs="Calibri" w:eastAsia="Calibri" w:hAnsi="Calibri"/>
          <w:color w:val="888888"/>
          <w:sz w:val="18"/>
          <w:szCs w:val="18"/>
        </w:rPr>
        <w:t xml:space="preserve">Ref: S2-DM-2019-VAL03  |  Migration Run: 07 Jan 2019  |  Author: QA / BA Analyst  |  S2 Software Solutions Pvt Ltd</w:t>
      </w:r>
    </w:p>
    <w:p>
      <w:pPr>
        <w:spacing w:after="60"/>
        <w:jc w:val="center"/>
      </w:pPr>
      <w:r>
        <w:rPr>
          <w:rFonts w:ascii="Calibri" w:cs="Calibri" w:eastAsia="Calibri" w:hAnsi="Calibri"/>
          <w:i/>
          <w:iCs/>
          <w:color w:val="888888"/>
          <w:sz w:val="18"/>
          <w:szCs w:val="18"/>
        </w:rPr>
        <w:t xml:space="preserve">E-Commerce Platform | B2B &amp; B2C | OMS | PCM | CX Solutions</w:t>
      </w:r>
    </w:p>
    <w:p>
      <w:pPr>
        <w:spacing w:after="80"/>
      </w:pPr>
      <w:r>
        <w:t xml:space="preserve"/>
      </w:r>
    </w:p>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1. Report Overview</w:t>
      </w:r>
    </w:p>
    <w:p>
      <w:pPr>
        <w:spacing w:after="100"/>
      </w:pPr>
      <w:r>
        <w:rPr>
          <w:rFonts w:ascii="Calibri" w:cs="Calibri" w:eastAsia="Calibri" w:hAnsi="Calibri"/>
          <w:color w:val="555555"/>
          <w:sz w:val="18"/>
          <w:szCs w:val="18"/>
        </w:rPr>
        <w:t xml:space="preserve">This validation report was produced at S2 Software Solutions Pvt Ltd, Hyderabad, following execution of the data migration from the legacy Order Management System (OMS) to the new e-commerce platform in January 2019. The QA analyst designed and executed the validation test strategy covering row-count reconciliation, field-level rule validation, referential integrity checks, and a manual spot-check of 100 customer records.</w:t>
      </w:r>
    </w:p>
    <w:p>
      <w:pPr>
        <w:spacing w:after="100"/>
      </w:pPr>
      <w:r>
        <w:rPr>
          <w:rFonts w:ascii="Calibri" w:cs="Calibri" w:eastAsia="Calibri" w:hAnsi="Calibri"/>
          <w:color w:val="555555"/>
          <w:sz w:val="18"/>
          <w:szCs w:val="18"/>
        </w:rPr>
        <w:t xml:space="preserve">The report records all findings, classifies issues by severity, assigns remediation actions, and provides a Go/No-Go recommendation for production cut-over. This document was shared with the Project Manager, Data Engineering team, and Product Owner in the weekly migration status meeting.</w:t>
      </w:r>
    </w:p>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2. Migration Scope</w:t>
      </w:r>
    </w:p>
    <w:p>
      <w:pPr>
        <w:pStyle w:val="ListParagraph"/>
        <w:numPr>
          <w:ilvl w:val="0"/>
          <w:numId w:val="2"/>
        </w:numPr>
      </w:pPr>
      <w:r>
        <w:rPr>
          <w:rFonts w:ascii="Calibri" w:cs="Calibri" w:eastAsia="Calibri" w:hAnsi="Calibri"/>
          <w:color w:val="555555"/>
          <w:sz w:val="18"/>
          <w:szCs w:val="18"/>
        </w:rPr>
        <w:t xml:space="preserve">Source system: Legacy OMS (Oracle DB), hosted on-premise at the Hyderabad data centre</w:t>
      </w:r>
    </w:p>
    <w:p>
      <w:pPr>
        <w:pStyle w:val="ListParagraph"/>
        <w:numPr>
          <w:ilvl w:val="0"/>
          <w:numId w:val="2"/>
        </w:numPr>
      </w:pPr>
      <w:r>
        <w:rPr>
          <w:rFonts w:ascii="Calibri" w:cs="Calibri" w:eastAsia="Calibri" w:hAnsi="Calibri"/>
          <w:color w:val="555555"/>
          <w:sz w:val="18"/>
          <w:szCs w:val="18"/>
        </w:rPr>
        <w:t xml:space="preserve">Target system: New cloud-based e-commerce platform (AWS, Hyderabad region)</w:t>
      </w:r>
    </w:p>
    <w:p>
      <w:pPr>
        <w:pStyle w:val="ListParagraph"/>
        <w:numPr>
          <w:ilvl w:val="0"/>
          <w:numId w:val="2"/>
        </w:numPr>
      </w:pPr>
      <w:r>
        <w:rPr>
          <w:rFonts w:ascii="Calibri" w:cs="Calibri" w:eastAsia="Calibri" w:hAnsi="Calibri"/>
          <w:color w:val="555555"/>
          <w:sz w:val="18"/>
          <w:szCs w:val="18"/>
        </w:rPr>
        <w:t xml:space="preserve">Migration tool: Custom Python ETL scripts + AWS Database Migration Service (DMS)</w:t>
      </w:r>
    </w:p>
    <w:p>
      <w:pPr>
        <w:pStyle w:val="ListParagraph"/>
        <w:numPr>
          <w:ilvl w:val="0"/>
          <w:numId w:val="2"/>
        </w:numPr>
      </w:pPr>
      <w:r>
        <w:rPr>
          <w:rFonts w:ascii="Calibri" w:cs="Calibri" w:eastAsia="Calibri" w:hAnsi="Calibri"/>
          <w:color w:val="555555"/>
          <w:sz w:val="18"/>
          <w:szCs w:val="18"/>
        </w:rPr>
        <w:t xml:space="preserve">Data entities in scope: Customer accounts, orders (3-year history), order line items, product SKUs (PCM), customer addresses, pricing records, B2B account profiles, promotional codes</w:t>
      </w:r>
    </w:p>
    <w:p>
      <w:pPr>
        <w:pStyle w:val="ListParagraph"/>
        <w:numPr>
          <w:ilvl w:val="0"/>
          <w:numId w:val="2"/>
        </w:numPr>
      </w:pPr>
      <w:r>
        <w:rPr>
          <w:rFonts w:ascii="Calibri" w:cs="Calibri" w:eastAsia="Calibri" w:hAnsi="Calibri"/>
          <w:color w:val="555555"/>
          <w:sz w:val="18"/>
          <w:szCs w:val="18"/>
        </w:rPr>
        <w:t xml:space="preserve">Data not in scope: Raw server logs, archived orders &gt;3 years old (business decision), user session data</w:t>
      </w:r>
    </w:p>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3. Row-Count Reconciliation</w:t>
      </w:r>
    </w:p>
    <w:p>
      <w:pPr>
        <w:spacing w:after="100"/>
      </w:pPr>
      <w:r>
        <w:rPr>
          <w:rFonts w:ascii="Calibri" w:cs="Calibri" w:eastAsia="Calibri" w:hAnsi="Calibri"/>
          <w:color w:val="555555"/>
          <w:sz w:val="18"/>
          <w:szCs w:val="18"/>
        </w:rPr>
        <w:t xml:space="preserve">Automated SQL scripts compared COUNT(*) across source and target schemas immediately after migration run completion. Results are shown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20"/>
        <w:gridCol w:w="1620"/>
        <w:gridCol w:w="1620"/>
        <w:gridCol w:w="1800"/>
      </w:tblGrid>
      <w:tr>
        <w:trPr>
          <w:tblHeader/>
        </w:trPr>
        <w:tc>
          <w:tcPr>
            <w:tcW w:type="dxa" w:w="270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Data Entity</w:t>
            </w:r>
          </w:p>
        </w:tc>
        <w:tc>
          <w:tcPr>
            <w:tcW w:type="dxa" w:w="162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Source Count</w:t>
            </w:r>
          </w:p>
        </w:tc>
        <w:tc>
          <w:tcPr>
            <w:tcW w:type="dxa" w:w="162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Target Count</w:t>
            </w:r>
          </w:p>
        </w:tc>
        <w:tc>
          <w:tcPr>
            <w:tcW w:type="dxa" w:w="162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Variance</w:t>
            </w:r>
          </w:p>
        </w:tc>
        <w:tc>
          <w:tcPr>
            <w:tcW w:type="dxa" w:w="180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Reconciliation Status</w:t>
            </w:r>
          </w:p>
        </w:tc>
      </w:tr>
      <w:tr>
        <w:tc>
          <w:tcPr>
            <w:tcW w:type="dxa" w:w="27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Customer Accounts</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52,140</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52,140</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555555"/>
                <w:sz w:val="17"/>
                <w:szCs w:val="17"/>
              </w:rPr>
              <w:t xml:space="preserve">0</w:t>
            </w:r>
          </w:p>
        </w:tc>
        <w:tc>
          <w:tcPr>
            <w:tcW w:type="dxa" w:w="180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r>
      <w:tr>
        <w:tc>
          <w:tcPr>
            <w:tcW w:type="dxa" w:w="27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Orders — Last 3 Years</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284,370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284,370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555555"/>
                <w:sz w:val="17"/>
                <w:szCs w:val="17"/>
              </w:rPr>
              <w:t xml:space="preserve">0</w:t>
            </w:r>
          </w:p>
        </w:tc>
        <w:tc>
          <w:tcPr>
            <w:tcW w:type="dxa" w:w="180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r>
      <w:tr>
        <w:tc>
          <w:tcPr>
            <w:tcW w:type="dxa" w:w="27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Order Line Items</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963,418</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963,418</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555555"/>
                <w:sz w:val="17"/>
                <w:szCs w:val="17"/>
              </w:rPr>
              <w:t xml:space="preserve">0</w:t>
            </w:r>
          </w:p>
        </w:tc>
        <w:tc>
          <w:tcPr>
            <w:tcW w:type="dxa" w:w="180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r>
      <w:tr>
        <w:tc>
          <w:tcPr>
            <w:tcW w:type="dxa" w:w="27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Product SKUs (PCM)</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21,830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21,826</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C00000"/>
                <w:sz w:val="17"/>
                <w:szCs w:val="17"/>
              </w:rPr>
              <w:t xml:space="preserve">−4</w:t>
            </w:r>
          </w:p>
        </w:tc>
        <w:tc>
          <w:tcPr>
            <w:tcW w:type="dxa" w:w="180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FAIL</w:t>
            </w:r>
          </w:p>
        </w:tc>
      </w:tr>
      <w:tr>
        <w:tc>
          <w:tcPr>
            <w:tcW w:type="dxa" w:w="27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Customer Addresses</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68,502</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68,502</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555555"/>
                <w:sz w:val="17"/>
                <w:szCs w:val="17"/>
              </w:rPr>
              <w:t xml:space="preserve">0</w:t>
            </w:r>
          </w:p>
        </w:tc>
        <w:tc>
          <w:tcPr>
            <w:tcW w:type="dxa" w:w="180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r>
      <w:tr>
        <w:tc>
          <w:tcPr>
            <w:tcW w:type="dxa" w:w="27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Pricing Records</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24,960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24,960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555555"/>
                <w:sz w:val="17"/>
                <w:szCs w:val="17"/>
              </w:rPr>
              <w:t xml:space="preserve">0</w:t>
            </w:r>
          </w:p>
        </w:tc>
        <w:tc>
          <w:tcPr>
            <w:tcW w:type="dxa" w:w="180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r>
      <w:tr>
        <w:tc>
          <w:tcPr>
            <w:tcW w:type="dxa" w:w="27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B2B Account Profiles</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1,204</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1,204</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555555"/>
                <w:sz w:val="17"/>
                <w:szCs w:val="17"/>
              </w:rPr>
              <w:t xml:space="preserve">0</w:t>
            </w:r>
          </w:p>
        </w:tc>
        <w:tc>
          <w:tcPr>
            <w:tcW w:type="dxa" w:w="180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r>
      <w:tr>
        <w:tc>
          <w:tcPr>
            <w:tcW w:type="dxa" w:w="27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Promotional Codes (PCM)</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3,810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3,810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555555"/>
                <w:sz w:val="17"/>
                <w:szCs w:val="17"/>
              </w:rPr>
              <w:t xml:space="preserve">0</w:t>
            </w:r>
          </w:p>
        </w:tc>
        <w:tc>
          <w:tcPr>
            <w:tcW w:type="dxa" w:w="180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r>
    </w:tbl>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4. Field-Level Validation Results</w:t>
      </w:r>
    </w:p>
    <w:p>
      <w:pPr>
        <w:spacing w:after="100"/>
      </w:pPr>
      <w:r>
        <w:rPr>
          <w:rFonts w:ascii="Calibri" w:cs="Calibri" w:eastAsia="Calibri" w:hAnsi="Calibri"/>
          <w:color w:val="555555"/>
          <w:sz w:val="18"/>
          <w:szCs w:val="18"/>
        </w:rPr>
        <w:t xml:space="preserve">A 10% stratified random sample was drawn for Customer, Order, and B2B entities. Product SKU, Address, and Pricing entities were validated in full due to smaller volumes. Validation was performed via parameterised SQL queries and Python scripts executed against the staging target database.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170"/>
        <w:gridCol w:w="2430"/>
        <w:gridCol w:w="810"/>
        <w:gridCol w:w="3510"/>
      </w:tblGrid>
      <w:tr>
        <w:trPr>
          <w:tblHeader/>
        </w:trPr>
        <w:tc>
          <w:tcPr>
            <w:tcW w:type="dxa" w:w="144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Entity</w:t>
            </w:r>
          </w:p>
        </w:tc>
        <w:tc>
          <w:tcPr>
            <w:tcW w:type="dxa" w:w="117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Field</w:t>
            </w:r>
          </w:p>
        </w:tc>
        <w:tc>
          <w:tcPr>
            <w:tcW w:type="dxa" w:w="243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Validation Rule</w:t>
            </w:r>
          </w:p>
        </w:tc>
        <w:tc>
          <w:tcPr>
            <w:tcW w:type="dxa" w:w="81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Result</w:t>
            </w:r>
          </w:p>
        </w:tc>
        <w:tc>
          <w:tcPr>
            <w:tcW w:type="dxa" w:w="351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Notes / Exceptions</w:t>
            </w:r>
          </w:p>
        </w:tc>
      </w:tr>
      <w:tr>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Customer</w:t>
            </w:r>
          </w:p>
        </w:tc>
        <w:tc>
          <w:tcPr>
            <w:tcW w:type="dxa" w:w="11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email</w:t>
            </w:r>
          </w:p>
        </w:tc>
        <w:tc>
          <w:tcPr>
            <w:tcW w:type="dxa" w:w="24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NOT NULL; valid RFC 5322 format; unique per record</w:t>
            </w:r>
          </w:p>
        </w:tc>
        <w:tc>
          <w:tcPr>
            <w:tcW w:type="dxa" w:w="81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c>
          <w:tcPr>
            <w:tcW w:type="dxa" w:w="35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All 52,140 records valid. 6 duplicates de-duplicated per agreed rule prior to migration.</w:t>
            </w:r>
          </w:p>
        </w:tc>
      </w:tr>
      <w:tr>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Customer</w:t>
            </w:r>
          </w:p>
        </w:tc>
        <w:tc>
          <w:tcPr>
            <w:tcW w:type="dxa" w:w="11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phone_number</w:t>
            </w:r>
          </w:p>
        </w:tc>
        <w:tc>
          <w:tcPr>
            <w:tcW w:type="dxa" w:w="24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NOT NULL; normalised to E.164 (+91XXXXXXXXXX)</w:t>
            </w:r>
          </w:p>
        </w:tc>
        <w:tc>
          <w:tcPr>
            <w:tcW w:type="dxa" w:w="81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c>
          <w:tcPr>
            <w:tcW w:type="dxa" w:w="35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231 records reformatted during ETL; original values archived.</w:t>
            </w:r>
          </w:p>
        </w:tc>
      </w:tr>
      <w:tr>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Customer</w:t>
            </w:r>
          </w:p>
        </w:tc>
        <w:tc>
          <w:tcPr>
            <w:tcW w:type="dxa" w:w="11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customer_type</w:t>
            </w:r>
          </w:p>
        </w:tc>
        <w:tc>
          <w:tcPr>
            <w:tcW w:type="dxa" w:w="24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Values ∈ {B2B, B2C, Internal}</w:t>
            </w:r>
          </w:p>
        </w:tc>
        <w:tc>
          <w:tcPr>
            <w:tcW w:type="dxa" w:w="81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c>
          <w:tcPr>
            <w:tcW w:type="dxa" w:w="35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9 records had NULL; mapped to B2C per business rule agreed 04 Jan 2019.</w:t>
            </w:r>
          </w:p>
        </w:tc>
      </w:tr>
      <w:tr>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Customer</w:t>
            </w:r>
          </w:p>
        </w:tc>
        <w:tc>
          <w:tcPr>
            <w:tcW w:type="dxa" w:w="11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created_date</w:t>
            </w:r>
          </w:p>
        </w:tc>
        <w:tc>
          <w:tcPr>
            <w:tcW w:type="dxa" w:w="24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NOT NULL; date ≤ migration run date</w:t>
            </w:r>
          </w:p>
        </w:tc>
        <w:tc>
          <w:tcPr>
            <w:tcW w:type="dxa" w:w="81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c>
          <w:tcPr>
            <w:tcW w:type="dxa" w:w="35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All dates within 2013–2019 range.</w:t>
            </w:r>
          </w:p>
        </w:tc>
      </w:tr>
      <w:tr>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Order</w:t>
            </w:r>
          </w:p>
        </w:tc>
        <w:tc>
          <w:tcPr>
            <w:tcW w:type="dxa" w:w="11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order_status</w:t>
            </w:r>
          </w:p>
        </w:tc>
        <w:tc>
          <w:tcPr>
            <w:tcW w:type="dxa" w:w="24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Values ∈ approved status enum</w:t>
            </w:r>
          </w:p>
        </w:tc>
        <w:tc>
          <w:tcPr>
            <w:tcW w:type="dxa" w:w="81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Fail</w:t>
            </w:r>
          </w:p>
        </w:tc>
        <w:tc>
          <w:tcPr>
            <w:tcW w:type="dxa" w:w="35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63 orders carry legacy status 'ON_HOLD_LEGACY' — no mapping defined. Raised as DM-BUG-001.</w:t>
            </w:r>
          </w:p>
        </w:tc>
      </w:tr>
      <w:tr>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Order</w:t>
            </w:r>
          </w:p>
        </w:tc>
        <w:tc>
          <w:tcPr>
            <w:tcW w:type="dxa" w:w="11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order_total</w:t>
            </w:r>
          </w:p>
        </w:tc>
        <w:tc>
          <w:tcPr>
            <w:tcW w:type="dxa" w:w="24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Matches SUM(line_item_price × qty) ±₹0.50</w:t>
            </w:r>
          </w:p>
        </w:tc>
        <w:tc>
          <w:tcPr>
            <w:tcW w:type="dxa" w:w="81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c>
          <w:tcPr>
            <w:tcW w:type="dxa" w:w="35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Tolerance applied for floating-point rounding; all within bounds.</w:t>
            </w:r>
          </w:p>
        </w:tc>
      </w:tr>
      <w:tr>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Order</w:t>
            </w:r>
          </w:p>
        </w:tc>
        <w:tc>
          <w:tcPr>
            <w:tcW w:type="dxa" w:w="11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payment_method</w:t>
            </w:r>
          </w:p>
        </w:tc>
        <w:tc>
          <w:tcPr>
            <w:tcW w:type="dxa" w:w="24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Values ∈ {Card, UPI, NetBanking, COD, B2B-Credit}</w:t>
            </w:r>
          </w:p>
        </w:tc>
        <w:tc>
          <w:tcPr>
            <w:tcW w:type="dxa" w:w="810"/>
            <w:tcBorders>
              <w:top w:val="single" w:color="B0CDE4" w:sz="1"/>
              <w:left w:val="single" w:color="B0CDE4" w:sz="1"/>
              <w:bottom w:val="single" w:color="B0CDE4" w:sz="1"/>
              <w:right w:val="single" w:color="B0CDE4" w:sz="1"/>
            </w:tcBorders>
            <w:shd w:fill="C96A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Warn</w:t>
            </w:r>
          </w:p>
        </w:tc>
        <w:tc>
          <w:tcPr>
            <w:tcW w:type="dxa" w:w="35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14 orders show 'UNKNOWN' — legacy payment gateway records incomplete. Business accepted as-is.</w:t>
            </w:r>
          </w:p>
        </w:tc>
      </w:tr>
      <w:tr>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Order Line</w:t>
            </w:r>
          </w:p>
        </w:tc>
        <w:tc>
          <w:tcPr>
            <w:tcW w:type="dxa" w:w="11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sku_code</w:t>
            </w:r>
          </w:p>
        </w:tc>
        <w:tc>
          <w:tcPr>
            <w:tcW w:type="dxa" w:w="24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Exists in migrated Product SKU table</w:t>
            </w:r>
          </w:p>
        </w:tc>
        <w:tc>
          <w:tcPr>
            <w:tcW w:type="dxa" w:w="81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Fail</w:t>
            </w:r>
          </w:p>
        </w:tc>
        <w:tc>
          <w:tcPr>
            <w:tcW w:type="dxa" w:w="35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4 SKUs referenced in line items absent from product catalogue (matches −4 SKU variance). Raised as DM-BUG-002.</w:t>
            </w:r>
          </w:p>
        </w:tc>
      </w:tr>
      <w:tr>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Product SKU</w:t>
            </w:r>
          </w:p>
        </w:tc>
        <w:tc>
          <w:tcPr>
            <w:tcW w:type="dxa" w:w="11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list_price</w:t>
            </w:r>
          </w:p>
        </w:tc>
        <w:tc>
          <w:tcPr>
            <w:tcW w:type="dxa" w:w="24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NOT NULL; &gt; 0</w:t>
            </w:r>
          </w:p>
        </w:tc>
        <w:tc>
          <w:tcPr>
            <w:tcW w:type="dxa" w:w="81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c>
          <w:tcPr>
            <w:tcW w:type="dxa" w:w="35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Zero-price SKUs excluded by ETL rule per PCM team approval.</w:t>
            </w:r>
          </w:p>
        </w:tc>
      </w:tr>
      <w:tr>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Product SKU</w:t>
            </w:r>
          </w:p>
        </w:tc>
        <w:tc>
          <w:tcPr>
            <w:tcW w:type="dxa" w:w="11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product_status</w:t>
            </w:r>
          </w:p>
        </w:tc>
        <w:tc>
          <w:tcPr>
            <w:tcW w:type="dxa" w:w="24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Values ∈ {Active, Discontinued, Draft}</w:t>
            </w:r>
          </w:p>
        </w:tc>
        <w:tc>
          <w:tcPr>
            <w:tcW w:type="dxa" w:w="81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c>
          <w:tcPr>
            <w:tcW w:type="dxa" w:w="35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All 21,826 migrated SKUs pass.</w:t>
            </w:r>
          </w:p>
        </w:tc>
      </w:tr>
      <w:tr>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B2B Account</w:t>
            </w:r>
          </w:p>
        </w:tc>
        <w:tc>
          <w:tcPr>
            <w:tcW w:type="dxa" w:w="11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credit_limit</w:t>
            </w:r>
          </w:p>
        </w:tc>
        <w:tc>
          <w:tcPr>
            <w:tcW w:type="dxa" w:w="24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NOT NULL; numeric; ≥ 0</w:t>
            </w:r>
          </w:p>
        </w:tc>
        <w:tc>
          <w:tcPr>
            <w:tcW w:type="dxa" w:w="81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c>
          <w:tcPr>
            <w:tcW w:type="dxa" w:w="35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All 1,204 B2B profiles validated.</w:t>
            </w:r>
          </w:p>
        </w:tc>
      </w:tr>
      <w:tr>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Address</w:t>
            </w:r>
          </w:p>
        </w:tc>
        <w:tc>
          <w:tcPr>
            <w:tcW w:type="dxa" w:w="11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pincode</w:t>
            </w:r>
          </w:p>
        </w:tc>
        <w:tc>
          <w:tcPr>
            <w:tcW w:type="dxa" w:w="24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6-digit numeric; valid Indian postal code format</w:t>
            </w:r>
          </w:p>
        </w:tc>
        <w:tc>
          <w:tcPr>
            <w:tcW w:type="dxa" w:w="81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Pass</w:t>
            </w:r>
          </w:p>
        </w:tc>
        <w:tc>
          <w:tcPr>
            <w:tcW w:type="dxa" w:w="35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12 invalid pincodes corrected via India Post lookup table during ETL.</w:t>
            </w:r>
          </w:p>
        </w:tc>
      </w:tr>
    </w:tbl>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5. Migration Issues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10"/>
        <w:gridCol w:w="2160"/>
        <w:gridCol w:w="1710"/>
        <w:gridCol w:w="2160"/>
        <w:gridCol w:w="1800"/>
      </w:tblGrid>
      <w:tr>
        <w:trPr>
          <w:tblHeader/>
        </w:trPr>
        <w:tc>
          <w:tcPr>
            <w:tcW w:type="dxa" w:w="72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Issue ID</w:t>
            </w:r>
          </w:p>
        </w:tc>
        <w:tc>
          <w:tcPr>
            <w:tcW w:type="dxa" w:w="81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Severity</w:t>
            </w:r>
          </w:p>
        </w:tc>
        <w:tc>
          <w:tcPr>
            <w:tcW w:type="dxa" w:w="21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Description</w:t>
            </w:r>
          </w:p>
        </w:tc>
        <w:tc>
          <w:tcPr>
            <w:tcW w:type="dxa" w:w="171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Business Impact</w:t>
            </w:r>
          </w:p>
        </w:tc>
        <w:tc>
          <w:tcPr>
            <w:tcW w:type="dxa" w:w="21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Remediation Action</w:t>
            </w:r>
          </w:p>
        </w:tc>
        <w:tc>
          <w:tcPr>
            <w:tcW w:type="dxa" w:w="180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Owner &amp; ETA</w:t>
            </w:r>
          </w:p>
        </w:tc>
      </w:tr>
      <w:tr>
        <w:tc>
          <w:tcPr>
            <w:tcW w:type="dxa" w:w="7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DM-BUG-001</w:t>
            </w:r>
          </w:p>
        </w:tc>
        <w:tc>
          <w:tcPr>
            <w:tcW w:type="dxa" w:w="81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Critical</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63 orders have unmapped status 'ON_HOLD_LEGACY' — not present in new platform's status enum</w:t>
            </w:r>
          </w:p>
        </w:tc>
        <w:tc>
          <w:tcPr>
            <w:tcW w:type="dxa" w:w="17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Orders invisible in customer account history; customer service cannot process them; refund risk</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Define mapping: ON_HOLD_LEGACY → 'On Hold (Review)'. Re-run ETL for affected records. Validate post-fix.</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Data Eng. Team | ETA: 3 days</w:t>
            </w:r>
          </w:p>
        </w:tc>
      </w:tr>
      <w:tr>
        <w:tc>
          <w:tcPr>
            <w:tcW w:type="dxa" w:w="7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DM-BUG-002</w:t>
            </w:r>
          </w:p>
        </w:tc>
        <w:tc>
          <w:tcPr>
            <w:tcW w:type="dxa" w:w="81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Critical</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4 Product SKUs absent from migrated catalogue but referenced in order line items</w:t>
            </w:r>
          </w:p>
        </w:tc>
        <w:tc>
          <w:tcPr>
            <w:tcW w:type="dxa" w:w="17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Checkout failure if any OOS reorder attempted; broken order history display for affected customers</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Retrieve 4 SKUs from legacy archive; insert into target catalogue with status 'Discontinued'. Validate FK.</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PCM / Dev Team | ETA: 2 days</w:t>
            </w:r>
          </w:p>
        </w:tc>
      </w:tr>
      <w:tr>
        <w:tc>
          <w:tcPr>
            <w:tcW w:type="dxa" w:w="7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DM-BUG-003</w:t>
            </w:r>
          </w:p>
        </w:tc>
        <w:tc>
          <w:tcPr>
            <w:tcW w:type="dxa" w:w="810"/>
            <w:tcBorders>
              <w:top w:val="single" w:color="B0CDE4" w:sz="1"/>
              <w:left w:val="single" w:color="B0CDE4" w:sz="1"/>
              <w:bottom w:val="single" w:color="B0CDE4" w:sz="1"/>
              <w:right w:val="single" w:color="B0CDE4" w:sz="1"/>
            </w:tcBorders>
            <w:shd w:fill="C96A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High</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14 orders with payment_method = 'UNKNOWN' — legacy gateway records incomplete</w:t>
            </w:r>
          </w:p>
        </w:tc>
        <w:tc>
          <w:tcPr>
            <w:tcW w:type="dxa" w:w="17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Reporting and reconciliation inaccurate; finance team unable to classify these orders</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Business to review 14 records manually; classify and update. No ETL change required.</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Operations Mgr | ETA: 5 days</w:t>
            </w:r>
          </w:p>
        </w:tc>
      </w:tr>
      <w:tr>
        <w:tc>
          <w:tcPr>
            <w:tcW w:type="dxa" w:w="7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DM-BUG-004</w:t>
            </w:r>
          </w:p>
        </w:tc>
        <w:tc>
          <w:tcPr>
            <w:tcW w:type="dxa" w:w="810"/>
            <w:tcBorders>
              <w:top w:val="single" w:color="B0CDE4" w:sz="1"/>
              <w:left w:val="single" w:color="B0CDE4" w:sz="1"/>
              <w:bottom w:val="single" w:color="B0CDE4" w:sz="1"/>
              <w:right w:val="single" w:color="B0CDE4" w:sz="1"/>
            </w:tcBorders>
            <w:shd w:fill="C96A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High</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6 duplicate customer email addresses detected and de-duplicated pre-migration — affected customers not notified</w:t>
            </w:r>
          </w:p>
        </w:tc>
        <w:tc>
          <w:tcPr>
            <w:tcW w:type="dxa" w:w="17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Customers with merged accounts may be unaware; potential login confusion if they had separate passwords</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Send notification email to 6 affected customers with instructions to reset password on new platform.</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CRM / Comms | ETA: 4 days</w:t>
            </w:r>
          </w:p>
        </w:tc>
      </w:tr>
    </w:tbl>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6. Validation Methodology</w:t>
      </w:r>
    </w:p>
    <w:p>
      <w:pPr>
        <w:pStyle w:val="ListParagraph"/>
        <w:numPr>
          <w:ilvl w:val="0"/>
          <w:numId w:val="2"/>
        </w:numPr>
      </w:pPr>
      <w:r>
        <w:rPr>
          <w:rFonts w:ascii="Calibri" w:cs="Calibri" w:eastAsia="Calibri" w:hAnsi="Calibri"/>
          <w:color w:val="555555"/>
          <w:sz w:val="18"/>
          <w:szCs w:val="18"/>
        </w:rPr>
        <w:t xml:space="preserve">Row-count reconciliation: Automated SQL (COUNT(*) per entity) run immediately post-migration and compared to source baseline captured pre-migration.</w:t>
      </w:r>
    </w:p>
    <w:p>
      <w:pPr>
        <w:pStyle w:val="ListParagraph"/>
        <w:numPr>
          <w:ilvl w:val="0"/>
          <w:numId w:val="2"/>
        </w:numPr>
      </w:pPr>
      <w:r>
        <w:rPr>
          <w:rFonts w:ascii="Calibri" w:cs="Calibri" w:eastAsia="Calibri" w:hAnsi="Calibri"/>
          <w:color w:val="555555"/>
          <w:sz w:val="18"/>
          <w:szCs w:val="18"/>
        </w:rPr>
        <w:t xml:space="preserve">Field validation: Parameterised SQL scripts tested NOT NULL, format, enum membership, and referential integrity on sampled and full-table records.</w:t>
      </w:r>
    </w:p>
    <w:p>
      <w:pPr>
        <w:pStyle w:val="ListParagraph"/>
        <w:numPr>
          <w:ilvl w:val="0"/>
          <w:numId w:val="2"/>
        </w:numPr>
      </w:pPr>
      <w:r>
        <w:rPr>
          <w:rFonts w:ascii="Calibri" w:cs="Calibri" w:eastAsia="Calibri" w:hAnsi="Calibri"/>
          <w:color w:val="555555"/>
          <w:sz w:val="18"/>
          <w:szCs w:val="18"/>
        </w:rPr>
        <w:t xml:space="preserve">Manual spot-check: 100 complete customer records (randomly selected) cross-verified field-by-field against CSV exports from legacy system.</w:t>
      </w:r>
    </w:p>
    <w:p>
      <w:pPr>
        <w:pStyle w:val="ListParagraph"/>
        <w:numPr>
          <w:ilvl w:val="0"/>
          <w:numId w:val="2"/>
        </w:numPr>
      </w:pPr>
      <w:r>
        <w:rPr>
          <w:rFonts w:ascii="Calibri" w:cs="Calibri" w:eastAsia="Calibri" w:hAnsi="Calibri"/>
          <w:color w:val="555555"/>
          <w:sz w:val="18"/>
          <w:szCs w:val="18"/>
        </w:rPr>
        <w:t xml:space="preserve">Referential integrity: Foreign key relationships tested programmatically — orders→customers, line items→SKUs, addresses→customers.</w:t>
      </w:r>
    </w:p>
    <w:p>
      <w:pPr>
        <w:pStyle w:val="ListParagraph"/>
        <w:numPr>
          <w:ilvl w:val="0"/>
          <w:numId w:val="2"/>
        </w:numPr>
      </w:pPr>
      <w:r>
        <w:rPr>
          <w:rFonts w:ascii="Calibri" w:cs="Calibri" w:eastAsia="Calibri" w:hAnsi="Calibri"/>
          <w:color w:val="555555"/>
          <w:sz w:val="18"/>
          <w:szCs w:val="18"/>
        </w:rPr>
        <w:t xml:space="preserve">Post-migration smoke test: 25 customer accounts logged in via staging portal; order history and address book verified visually.</w:t>
      </w:r>
    </w:p>
    <w:p>
      <w:pPr>
        <w:pStyle w:val="ListParagraph"/>
        <w:numPr>
          <w:ilvl w:val="0"/>
          <w:numId w:val="2"/>
        </w:numPr>
      </w:pPr>
      <w:r>
        <w:rPr>
          <w:rFonts w:ascii="Calibri" w:cs="Calibri" w:eastAsia="Calibri" w:hAnsi="Calibri"/>
          <w:color w:val="555555"/>
          <w:sz w:val="18"/>
          <w:szCs w:val="18"/>
        </w:rPr>
        <w:t xml:space="preserve">B2B account validation: All 1,204 B2B profiles checked for credit limit, account status, and linked contact records.</w:t>
      </w:r>
    </w:p>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7. Go / No-Go Recommendation</w:t>
      </w:r>
    </w:p>
    <w:p>
      <w:pPr>
        <w:pBdr>
          <w:top w:val="single" w:color="C00000" w:sz="6"/>
          <w:bottom w:val="single" w:color="C00000" w:sz="6"/>
          <w:left w:val="single" w:color="C00000" w:sz="6"/>
          <w:right w:val="single" w:color="C00000" w:sz="6"/>
        </w:pBdr>
        <w:shd w:fill="FFF0F0" w:val="clear"/>
        <w:spacing w:before="120" w:after="120"/>
      </w:pPr>
      <w:r>
        <w:rPr>
          <w:rFonts w:ascii="Calibri" w:cs="Calibri" w:eastAsia="Calibri" w:hAnsi="Calibri"/>
          <w:b/>
          <w:bCs/>
          <w:color w:val="C00000"/>
          <w:sz w:val="20"/>
          <w:szCs w:val="20"/>
        </w:rPr>
        <w:t xml:space="preserve">RECOMMENDATION: NO-GO for production cut-over. Two Critical issues (DM-BUG-001, DM-BUG-002) must be fully remediated and re-validated before the migration is deemed production-ready. The two High issues may be resolved in parallel but must be closed before launch. A re-validation run is required after all Critical fixes are applied.</w:t>
      </w:r>
    </w:p>
    <w:p>
      <w:pPr>
        <w:spacing w:after="80"/>
      </w:pPr>
      <w:r>
        <w:t xml:space="preserve"/>
      </w:r>
    </w:p>
    <w:p>
      <w:pPr>
        <w:spacing w:after="100"/>
      </w:pPr>
      <w:r>
        <w:rPr>
          <w:rFonts w:ascii="Calibri" w:cs="Calibri" w:eastAsia="Calibri" w:hAnsi="Calibri"/>
          <w:color w:val="555555"/>
          <w:sz w:val="18"/>
          <w:szCs w:val="18"/>
        </w:rPr>
        <w:t xml:space="preserve">This recommendation was communicated to the Project Manager and Product Owner on 09 Jan 2019. A re-run was scheduled for 14 Jan 2019 following data engineering remediation. The BA/QA analyst coordinated directly with the data engineering team and business stakeholders for defect resolution in line with standard S2 Software Solutions defect management procedures.</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6FAC" w:sz="6" w:space="4"/>
      </w:pBdr>
      <w:tabs>
        <w:tab w:val="right" w:pos="9360"/>
      </w:tabs>
    </w:pPr>
    <w:r>
      <w:rPr>
        <w:rFonts w:ascii="Calibri" w:cs="Calibri" w:eastAsia="Calibri" w:hAnsi="Calibri"/>
        <w:color w:val="888888"/>
        <w:sz w:val="16"/>
        <w:szCs w:val="16"/>
      </w:rPr>
      <w:t xml:space="preserve">Business Analyst / Junior Tester  |  Work Sample Portfolio</w:t>
    </w:r>
    <w:r>
      <w:rPr>
        <w:rFonts w:ascii="Calibri" w:cs="Calibri" w:eastAsia="Calibri" w:hAnsi="Calibri"/>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C" w:sz="6" w:space="4"/>
      </w:pBdr>
      <w:tabs>
        <w:tab w:val="right" w:pos="9360"/>
      </w:tabs>
    </w:pPr>
    <w:r>
      <w:rPr>
        <w:rFonts w:ascii="Calibri" w:cs="Calibri" w:eastAsia="Calibri" w:hAnsi="Calibri"/>
        <w:b/>
        <w:bCs/>
        <w:color w:val="1B3A5C"/>
        <w:sz w:val="18"/>
        <w:szCs w:val="18"/>
      </w:rPr>
      <w:t xml:space="preserve">Data Migration Validation Report — S2 Software Solutions</w:t>
    </w:r>
    <w:r>
      <w:rPr>
        <w:rFonts w:ascii="Calibri" w:cs="Calibri" w:eastAsia="Calibri" w:hAnsi="Calibri"/>
        <w:i/>
        <w:iCs/>
        <w:color w:val="888888"/>
        <w:sz w:val="16"/>
        <w:szCs w:val="16"/>
      </w:rPr>
      <w:t xml:space="preserve">	S2 Software Solutions Pvt Ltd  |  Hyderabad  |  Dec 2016 – Oct 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70"/>
        <w:ind w:left="720" w:hanging="360"/>
      </w:pPr>
    </w:lvl>
  </w:abstractNum>
  <w:abstractNum w:abstractNumId="3" w15:restartNumberingAfterBreak="0">
    <w:multiLevelType w:val="hybridMultilevel"/>
    <w:lvl w:ilvl="0" w15:tentative="1">
      <w:start w:val="1"/>
      <w:numFmt w:val="decimal"/>
      <w:lvlText w:val="%1."/>
      <w:lvlJc w:val="left"/>
      <w:pPr>
        <w:spacing w:after="7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2026-03-12T04:27:25.967Z</dcterms:created>
  <dcterms:modified xsi:type="dcterms:W3CDTF">2026-03-12T04:27:25.967Z</dcterms:modified>
</cp:coreProperties>
</file>

<file path=docProps/custom.xml><?xml version="1.0" encoding="utf-8"?>
<Properties xmlns="http://schemas.openxmlformats.org/officeDocument/2006/custom-properties" xmlns:vt="http://schemas.openxmlformats.org/officeDocument/2006/docPropsVTypes"/>
</file>