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C83A6" w14:textId="77777777" w:rsidR="007D72C2" w:rsidRPr="00310AC1" w:rsidRDefault="00A537D1">
      <w:pPr>
        <w:pStyle w:val="Title"/>
        <w:jc w:val="center"/>
        <w:rPr>
          <w:rFonts w:ascii="Cambria" w:hAnsi="Cambria" w:cs="Arial"/>
          <w:color w:val="000000" w:themeColor="text1"/>
        </w:rPr>
      </w:pPr>
      <w:r w:rsidRPr="00310AC1">
        <w:rPr>
          <w:rFonts w:ascii="Cambria" w:hAnsi="Cambria" w:cs="Arial"/>
          <w:color w:val="000000" w:themeColor="text1"/>
        </w:rPr>
        <w:t>Business Summary Report: Predictive Insights for Collections Strategy</w:t>
      </w:r>
    </w:p>
    <w:p w14:paraId="2F4337BF" w14:textId="77777777" w:rsidR="007D72C2" w:rsidRPr="00310AC1" w:rsidRDefault="00A537D1">
      <w:pPr>
        <w:pStyle w:val="Heading1"/>
        <w:rPr>
          <w:rFonts w:ascii="Cambria" w:hAnsi="Cambria" w:cs="Arial"/>
          <w:color w:val="000000" w:themeColor="text1"/>
        </w:rPr>
      </w:pPr>
      <w:r w:rsidRPr="00310AC1">
        <w:rPr>
          <w:rFonts w:ascii="Cambria" w:hAnsi="Cambria" w:cs="Arial"/>
          <w:color w:val="000000" w:themeColor="text1"/>
        </w:rPr>
        <w:t>1. Summary of Predictive Insights</w:t>
      </w:r>
    </w:p>
    <w:p w14:paraId="59576195" w14:textId="38EA6D37" w:rsidR="00310AC1" w:rsidRPr="00310AC1" w:rsidRDefault="00310AC1" w:rsidP="00310AC1">
      <w:pPr>
        <w:pStyle w:val="NormalWeb"/>
        <w:rPr>
          <w:rFonts w:ascii="Cambria" w:hAnsi="Cambria"/>
        </w:rPr>
      </w:pPr>
      <w:r>
        <w:rPr>
          <w:rStyle w:val="Strong"/>
          <w:rFonts w:ascii="Cambria" w:hAnsi="Cambria"/>
        </w:rPr>
        <w:t xml:space="preserve">  </w:t>
      </w:r>
      <w:r w:rsidRPr="00310AC1">
        <w:rPr>
          <w:rStyle w:val="Strong"/>
          <w:rFonts w:ascii="Cambria" w:hAnsi="Cambria"/>
        </w:rPr>
        <w:t>Top 3 Risk Factors Affecting Delinquency:</w:t>
      </w:r>
    </w:p>
    <w:p w14:paraId="08478259" w14:textId="77777777" w:rsidR="00310AC1" w:rsidRPr="00310AC1" w:rsidRDefault="00310AC1" w:rsidP="00310AC1">
      <w:pPr>
        <w:pStyle w:val="NormalWeb"/>
        <w:numPr>
          <w:ilvl w:val="0"/>
          <w:numId w:val="10"/>
        </w:numPr>
        <w:rPr>
          <w:rFonts w:ascii="Cambria" w:hAnsi="Cambria"/>
        </w:rPr>
      </w:pPr>
      <w:r w:rsidRPr="00310AC1">
        <w:rPr>
          <w:rStyle w:val="Strong"/>
          <w:rFonts w:ascii="Cambria" w:hAnsi="Cambria"/>
        </w:rPr>
        <w:t>Missed Payments:</w:t>
      </w:r>
      <w:r w:rsidRPr="00310AC1">
        <w:rPr>
          <w:rFonts w:ascii="Cambria" w:hAnsi="Cambria"/>
        </w:rPr>
        <w:t xml:space="preserve"> A history of late or missed payments strongly predicts future delinquency.</w:t>
      </w:r>
    </w:p>
    <w:p w14:paraId="3A60556B" w14:textId="77777777" w:rsidR="00310AC1" w:rsidRPr="00310AC1" w:rsidRDefault="00310AC1" w:rsidP="00310AC1">
      <w:pPr>
        <w:pStyle w:val="NormalWeb"/>
        <w:numPr>
          <w:ilvl w:val="0"/>
          <w:numId w:val="10"/>
        </w:numPr>
        <w:rPr>
          <w:rFonts w:ascii="Cambria" w:hAnsi="Cambria"/>
        </w:rPr>
      </w:pPr>
      <w:r w:rsidRPr="00310AC1">
        <w:rPr>
          <w:rStyle w:val="Strong"/>
          <w:rFonts w:ascii="Cambria" w:hAnsi="Cambria"/>
        </w:rPr>
        <w:t>Credit Utilization:</w:t>
      </w:r>
      <w:r w:rsidRPr="00310AC1">
        <w:rPr>
          <w:rFonts w:ascii="Cambria" w:hAnsi="Cambria"/>
        </w:rPr>
        <w:t xml:space="preserve"> Higher usage of available credit is a key indicator of repayment difficulties.</w:t>
      </w:r>
    </w:p>
    <w:p w14:paraId="60F471FE" w14:textId="2EFCB458" w:rsidR="007D72C2" w:rsidRDefault="00310AC1" w:rsidP="00310AC1">
      <w:pPr>
        <w:pStyle w:val="NormalWeb"/>
        <w:numPr>
          <w:ilvl w:val="0"/>
          <w:numId w:val="10"/>
        </w:numPr>
        <w:rPr>
          <w:rFonts w:ascii="Cambria" w:hAnsi="Cambria"/>
        </w:rPr>
      </w:pPr>
      <w:r w:rsidRPr="00310AC1">
        <w:rPr>
          <w:rStyle w:val="Strong"/>
          <w:rFonts w:ascii="Cambria" w:hAnsi="Cambria"/>
        </w:rPr>
        <w:t>Debt Burden &amp; Financial History:</w:t>
      </w:r>
      <w:r w:rsidRPr="00310AC1">
        <w:rPr>
          <w:rFonts w:ascii="Cambria" w:hAnsi="Cambria"/>
        </w:rPr>
        <w:t xml:space="preserve"> Low credit scores and high debt-to-income ratios highlight financial risk</w:t>
      </w:r>
    </w:p>
    <w:p w14:paraId="2F9F596E" w14:textId="3F9C4012" w:rsidR="00310AC1" w:rsidRPr="00310AC1" w:rsidRDefault="00310AC1" w:rsidP="00310AC1">
      <w:pPr>
        <w:pStyle w:val="NormalWeb"/>
        <w:rPr>
          <w:rFonts w:ascii="Cambria" w:hAnsi="Cambria"/>
          <w:b/>
        </w:rPr>
      </w:pPr>
      <w:r>
        <w:rPr>
          <w:rStyle w:val="Strong"/>
        </w:rPr>
        <w:t xml:space="preserve">  </w:t>
      </w:r>
      <w:r w:rsidRPr="00310AC1">
        <w:rPr>
          <w:b/>
        </w:rPr>
        <w:t>Key Insights Summary Table</w:t>
      </w:r>
      <w:r w:rsidRPr="00310AC1">
        <w:rPr>
          <w:b/>
        </w:rPr>
        <w:t>:</w:t>
      </w:r>
    </w:p>
    <w:tbl>
      <w:tblPr>
        <w:tblW w:w="5231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07"/>
        <w:gridCol w:w="2117"/>
        <w:gridCol w:w="2690"/>
        <w:gridCol w:w="2508"/>
      </w:tblGrid>
      <w:tr w:rsidR="00A537D1" w:rsidRPr="00310AC1" w14:paraId="36311A05" w14:textId="77777777" w:rsidTr="00310AC1">
        <w:trPr>
          <w:trHeight w:val="332"/>
        </w:trPr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6A7EA" w14:textId="77777777" w:rsidR="00A537D1" w:rsidRPr="00310AC1" w:rsidRDefault="00A537D1" w:rsidP="00A537D1">
            <w:pPr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</w:pPr>
            <w:r w:rsidRPr="00310AC1"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>Key Insight</w:t>
            </w: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469F1" w14:textId="77777777" w:rsidR="00A537D1" w:rsidRPr="00310AC1" w:rsidRDefault="00A537D1" w:rsidP="00A537D1">
            <w:pPr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</w:pPr>
            <w:r w:rsidRPr="00310AC1"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>Customer Segment</w:t>
            </w:r>
          </w:p>
        </w:tc>
        <w:tc>
          <w:tcPr>
            <w:tcW w:w="1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1034A" w14:textId="77777777" w:rsidR="00A537D1" w:rsidRPr="00310AC1" w:rsidRDefault="00A537D1" w:rsidP="00A537D1">
            <w:pPr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</w:pPr>
            <w:r w:rsidRPr="00310AC1"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>Influencing Variables</w:t>
            </w:r>
          </w:p>
        </w:tc>
        <w:tc>
          <w:tcPr>
            <w:tcW w:w="1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80553" w14:textId="77777777" w:rsidR="00A537D1" w:rsidRPr="00310AC1" w:rsidRDefault="00A537D1" w:rsidP="00A537D1">
            <w:pPr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</w:pPr>
            <w:r w:rsidRPr="00310AC1"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>Potential Impact</w:t>
            </w:r>
          </w:p>
        </w:tc>
      </w:tr>
      <w:tr w:rsidR="00A537D1" w:rsidRPr="00310AC1" w14:paraId="4217145F" w14:textId="77777777" w:rsidTr="00310AC1">
        <w:trPr>
          <w:trHeight w:val="782"/>
        </w:trPr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FF5A1" w14:textId="1E9177A4" w:rsidR="00310AC1" w:rsidRPr="00310AC1" w:rsidRDefault="00310AC1" w:rsidP="00A537D1">
            <w:pPr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</w:pPr>
            <w:r w:rsidRPr="00310AC1"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>Customers with high missed payments are at greatest risk of delinquency</w:t>
            </w: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EE3BA" w14:textId="6A84EE4C" w:rsidR="00A537D1" w:rsidRPr="00310AC1" w:rsidRDefault="00310AC1" w:rsidP="00310AC1">
            <w:pPr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</w:pPr>
            <w:r w:rsidRPr="00310AC1"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>Customers with 3+ missed payments in the last 6 months</w:t>
            </w:r>
          </w:p>
        </w:tc>
        <w:tc>
          <w:tcPr>
            <w:tcW w:w="1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9CAEF" w14:textId="69EDBD42" w:rsidR="00A537D1" w:rsidRPr="00310AC1" w:rsidRDefault="00310AC1" w:rsidP="00310AC1">
            <w:pPr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</w:pPr>
            <w:r w:rsidRPr="00310AC1"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>Missed Payments, Credit Score, Debt-to-Income Ratio</w:t>
            </w:r>
            <w:r w:rsidRPr="00310AC1"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ab/>
            </w:r>
          </w:p>
        </w:tc>
        <w:tc>
          <w:tcPr>
            <w:tcW w:w="1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C9A44" w14:textId="2E528F20" w:rsidR="00A537D1" w:rsidRPr="00310AC1" w:rsidRDefault="00310AC1" w:rsidP="00A537D1">
            <w:pPr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</w:pPr>
            <w:r w:rsidRPr="00310AC1"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>Early intervention through payment restructuring or financial assistance can reduce default rates</w:t>
            </w:r>
          </w:p>
        </w:tc>
      </w:tr>
      <w:tr w:rsidR="00310AC1" w:rsidRPr="00310AC1" w14:paraId="05830A5C" w14:textId="77777777" w:rsidTr="00310AC1">
        <w:trPr>
          <w:trHeight w:val="782"/>
        </w:trPr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0A8B9" w14:textId="7B807843" w:rsidR="00310AC1" w:rsidRPr="00310AC1" w:rsidRDefault="00310AC1" w:rsidP="00A537D1">
            <w:pPr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</w:pPr>
            <w:r w:rsidRPr="00310AC1"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>High credit utilization is a strong predictor of delinquency</w:t>
            </w: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562B3" w14:textId="42258407" w:rsidR="00310AC1" w:rsidRPr="00310AC1" w:rsidRDefault="00310AC1" w:rsidP="00310AC1">
            <w:pPr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</w:pPr>
            <w:r w:rsidRPr="00310AC1"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>Customers using over 70% of their credit limit</w:t>
            </w:r>
          </w:p>
        </w:tc>
        <w:tc>
          <w:tcPr>
            <w:tcW w:w="1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84E49" w14:textId="278CDDD9" w:rsidR="00310AC1" w:rsidRPr="00310AC1" w:rsidRDefault="00310AC1" w:rsidP="00310AC1">
            <w:pPr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</w:pPr>
            <w:r w:rsidRPr="00310AC1"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>Credit Utilization, Loan Balance, Account Tenure</w:t>
            </w:r>
          </w:p>
        </w:tc>
        <w:tc>
          <w:tcPr>
            <w:tcW w:w="1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01785" w14:textId="7FFF5A05" w:rsidR="00310AC1" w:rsidRPr="00310AC1" w:rsidRDefault="00310AC1" w:rsidP="00A537D1">
            <w:pPr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</w:pPr>
            <w:r w:rsidRPr="00310AC1"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>Offering customized credit limits or repayment incentives can help reduce financial strain</w:t>
            </w:r>
          </w:p>
        </w:tc>
      </w:tr>
      <w:tr w:rsidR="00310AC1" w:rsidRPr="00310AC1" w14:paraId="3AF941F6" w14:textId="77777777" w:rsidTr="00310AC1">
        <w:trPr>
          <w:trHeight w:val="782"/>
        </w:trPr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C6CDA" w14:textId="3A2D515E" w:rsidR="00310AC1" w:rsidRPr="00310AC1" w:rsidRDefault="00310AC1" w:rsidP="00A537D1">
            <w:pPr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</w:pPr>
            <w:r w:rsidRPr="00310AC1"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>Low credit score combined with high debt-to-income ratio increases risk</w:t>
            </w: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EC6B" w14:textId="763E30ED" w:rsidR="00310AC1" w:rsidRPr="00310AC1" w:rsidRDefault="00310AC1" w:rsidP="00310AC1">
            <w:pPr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</w:pPr>
            <w:r w:rsidRPr="00310AC1"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>Customers with credit scores below 400 and debt-to-income ratios above 40%</w:t>
            </w:r>
            <w:r w:rsidRPr="00310AC1"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ab/>
            </w:r>
          </w:p>
        </w:tc>
        <w:tc>
          <w:tcPr>
            <w:tcW w:w="1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29D37" w14:textId="281A4B0E" w:rsidR="00310AC1" w:rsidRPr="00310AC1" w:rsidRDefault="00310AC1" w:rsidP="00310AC1">
            <w:pPr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</w:pPr>
            <w:r w:rsidRPr="00310AC1"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>Credit Score, Debt-to-Income Ratio, Employment Status</w:t>
            </w:r>
          </w:p>
        </w:tc>
        <w:tc>
          <w:tcPr>
            <w:tcW w:w="1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60061" w14:textId="6DAB247D" w:rsidR="00310AC1" w:rsidRPr="00310AC1" w:rsidRDefault="00310AC1" w:rsidP="00A537D1">
            <w:pPr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</w:pPr>
            <w:r w:rsidRPr="00310AC1"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>Implementing financial counse</w:t>
            </w:r>
            <w:r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>l</w:t>
            </w:r>
            <w:r w:rsidRPr="00310AC1"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>ling and alternative payment solutions can improve repayment ability</w:t>
            </w:r>
          </w:p>
        </w:tc>
      </w:tr>
    </w:tbl>
    <w:p w14:paraId="30F56513" w14:textId="51335714" w:rsidR="00310AC1" w:rsidRPr="00310AC1" w:rsidRDefault="00310AC1">
      <w:pPr>
        <w:rPr>
          <w:rFonts w:ascii="Cambria" w:hAnsi="Cambria" w:cs="Arial"/>
          <w:color w:val="000000" w:themeColor="text1"/>
        </w:rPr>
      </w:pPr>
    </w:p>
    <w:p w14:paraId="72833B3F" w14:textId="77777777" w:rsidR="007D72C2" w:rsidRPr="00310AC1" w:rsidRDefault="00A537D1">
      <w:pPr>
        <w:pStyle w:val="Heading1"/>
        <w:rPr>
          <w:rFonts w:ascii="Cambria" w:hAnsi="Cambria" w:cs="Arial"/>
          <w:color w:val="000000" w:themeColor="text1"/>
        </w:rPr>
      </w:pPr>
      <w:r w:rsidRPr="00310AC1">
        <w:rPr>
          <w:rFonts w:ascii="Cambria" w:hAnsi="Cambria" w:cs="Arial"/>
          <w:color w:val="000000" w:themeColor="text1"/>
        </w:rPr>
        <w:t>2. Recommendation Framework</w:t>
      </w:r>
    </w:p>
    <w:p w14:paraId="305F222C" w14:textId="77777777" w:rsidR="0088763B" w:rsidRPr="0088763B" w:rsidRDefault="0088763B" w:rsidP="0088763B">
      <w:pPr>
        <w:pStyle w:val="NormalWeb"/>
        <w:numPr>
          <w:ilvl w:val="0"/>
          <w:numId w:val="11"/>
        </w:numPr>
        <w:rPr>
          <w:rFonts w:ascii="Cambria" w:hAnsi="Cambria"/>
        </w:rPr>
      </w:pPr>
      <w:r w:rsidRPr="0088763B">
        <w:rPr>
          <w:rStyle w:val="Strong"/>
          <w:rFonts w:ascii="Cambria" w:hAnsi="Cambria"/>
        </w:rPr>
        <w:t>Restated Insight:</w:t>
      </w:r>
      <w:r w:rsidRPr="0088763B">
        <w:rPr>
          <w:rFonts w:ascii="Cambria" w:hAnsi="Cambria"/>
        </w:rPr>
        <w:t xml:space="preserve"> Customers with </w:t>
      </w:r>
      <w:r w:rsidRPr="0088763B">
        <w:rPr>
          <w:rStyle w:val="Strong"/>
          <w:rFonts w:ascii="Cambria" w:hAnsi="Cambria"/>
        </w:rPr>
        <w:t>high credit utilization (&gt;70%)</w:t>
      </w:r>
      <w:r w:rsidRPr="0088763B">
        <w:rPr>
          <w:rFonts w:ascii="Cambria" w:hAnsi="Cambria"/>
        </w:rPr>
        <w:t xml:space="preserve"> are significantly more likely to become delinquent, indicating financial strain and difficulty in managing repayments.</w:t>
      </w:r>
    </w:p>
    <w:p w14:paraId="4CAECA19" w14:textId="7D5BAC9C" w:rsidR="0088763B" w:rsidRPr="0088763B" w:rsidRDefault="0088763B" w:rsidP="0088763B">
      <w:pPr>
        <w:pStyle w:val="NormalWeb"/>
        <w:numPr>
          <w:ilvl w:val="0"/>
          <w:numId w:val="11"/>
        </w:numPr>
        <w:rPr>
          <w:rFonts w:ascii="Cambria" w:hAnsi="Cambria"/>
        </w:rPr>
      </w:pPr>
      <w:r w:rsidRPr="0088763B">
        <w:rPr>
          <w:rStyle w:val="Strong"/>
          <w:rFonts w:asciiTheme="minorHAnsi" w:hAnsiTheme="minorHAnsi"/>
        </w:rPr>
        <w:lastRenderedPageBreak/>
        <w:t>Proposed Recommendation:</w:t>
      </w:r>
      <w:r w:rsidRPr="0088763B">
        <w:rPr>
          <w:rFonts w:asciiTheme="minorHAnsi" w:hAnsiTheme="minorHAnsi"/>
        </w:rPr>
        <w:t xml:space="preserve"> Implement a </w:t>
      </w:r>
      <w:r w:rsidRPr="0088763B">
        <w:rPr>
          <w:rStyle w:val="Strong"/>
          <w:rFonts w:asciiTheme="minorHAnsi" w:hAnsiTheme="minorHAnsi"/>
        </w:rPr>
        <w:t>credit utilization monitoring system</w:t>
      </w:r>
      <w:r w:rsidRPr="0088763B">
        <w:rPr>
          <w:rFonts w:asciiTheme="minorHAnsi" w:hAnsiTheme="minorHAnsi"/>
        </w:rPr>
        <w:t xml:space="preserve"> that</w:t>
      </w:r>
      <w:r>
        <w:t xml:space="preserve"> </w:t>
      </w:r>
      <w:r w:rsidRPr="0088763B">
        <w:rPr>
          <w:rFonts w:ascii="Cambria" w:hAnsi="Cambria"/>
        </w:rPr>
        <w:t>identifies high-risk customers and offers proactive repayment plans</w:t>
      </w:r>
      <w:r>
        <w:rPr>
          <w:rFonts w:ascii="Cambria" w:hAnsi="Cambria"/>
        </w:rPr>
        <w:t>.</w:t>
      </w:r>
    </w:p>
    <w:p w14:paraId="5F965B30" w14:textId="50463B8B" w:rsidR="0088763B" w:rsidRDefault="0088763B" w:rsidP="0088763B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88763B">
        <w:rPr>
          <w:rStyle w:val="Strong"/>
          <w:rFonts w:ascii="Cambria" w:hAnsi="Cambria"/>
        </w:rPr>
        <w:t>SMART Goal:</w:t>
      </w:r>
      <w:r w:rsidRPr="0088763B">
        <w:rPr>
          <w:rFonts w:ascii="Cambria" w:hAnsi="Cambria"/>
        </w:rPr>
        <w:t xml:space="preserve"> By the end of </w:t>
      </w:r>
      <w:r w:rsidRPr="0088763B">
        <w:rPr>
          <w:rStyle w:val="Strong"/>
          <w:rFonts w:ascii="Cambria" w:hAnsi="Cambria"/>
        </w:rPr>
        <w:t>Q2 2025</w:t>
      </w:r>
      <w:r w:rsidRPr="0088763B">
        <w:rPr>
          <w:rFonts w:ascii="Cambria" w:hAnsi="Cambria"/>
        </w:rPr>
        <w:t xml:space="preserve">, </w:t>
      </w:r>
      <w:proofErr w:type="spellStart"/>
      <w:r w:rsidRPr="0088763B">
        <w:rPr>
          <w:rFonts w:ascii="Cambria" w:hAnsi="Cambria"/>
        </w:rPr>
        <w:t>Geldium</w:t>
      </w:r>
      <w:proofErr w:type="spellEnd"/>
      <w:r w:rsidRPr="0088763B">
        <w:rPr>
          <w:rFonts w:ascii="Cambria" w:hAnsi="Cambria"/>
        </w:rPr>
        <w:t xml:space="preserve"> Finance will reduce delinquency rates among </w:t>
      </w:r>
      <w:r w:rsidRPr="0088763B">
        <w:rPr>
          <w:rStyle w:val="Strong"/>
          <w:rFonts w:ascii="Cambria" w:hAnsi="Cambria"/>
        </w:rPr>
        <w:t>high credit utilization customers (&gt;70%)</w:t>
      </w:r>
      <w:r w:rsidRPr="0088763B">
        <w:rPr>
          <w:rFonts w:ascii="Cambria" w:hAnsi="Cambria"/>
        </w:rPr>
        <w:t xml:space="preserve"> by </w:t>
      </w:r>
      <w:r w:rsidRPr="0088763B">
        <w:rPr>
          <w:rStyle w:val="Strong"/>
          <w:rFonts w:ascii="Cambria" w:hAnsi="Cambria"/>
        </w:rPr>
        <w:t>15%</w:t>
      </w:r>
      <w:r w:rsidRPr="0088763B">
        <w:rPr>
          <w:rFonts w:ascii="Cambria" w:hAnsi="Cambria"/>
        </w:rPr>
        <w:t xml:space="preserve">, through </w:t>
      </w:r>
      <w:r w:rsidRPr="0088763B">
        <w:rPr>
          <w:rStyle w:val="Strong"/>
          <w:rFonts w:ascii="Cambria" w:hAnsi="Cambria"/>
        </w:rPr>
        <w:t>automated alerts and tailored repayment assistance programs</w:t>
      </w:r>
      <w:r w:rsidRPr="0088763B">
        <w:rPr>
          <w:rFonts w:ascii="Cambria" w:hAnsi="Cambria"/>
        </w:rPr>
        <w:t>.</w:t>
      </w:r>
    </w:p>
    <w:p w14:paraId="316730AB" w14:textId="5EC2DC8C" w:rsidR="0088763B" w:rsidRDefault="0088763B" w:rsidP="0088763B">
      <w:pPr>
        <w:pStyle w:val="ListParagraph"/>
        <w:rPr>
          <w:rStyle w:val="Strong"/>
          <w:rFonts w:ascii="Cambria" w:hAnsi="Cambria"/>
        </w:rPr>
      </w:pPr>
    </w:p>
    <w:p w14:paraId="64E6D297" w14:textId="77777777" w:rsidR="0088763B" w:rsidRDefault="0088763B" w:rsidP="0088763B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88763B">
        <w:rPr>
          <w:rStyle w:val="Strong"/>
          <w:rFonts w:ascii="Cambria" w:hAnsi="Cambria"/>
        </w:rPr>
        <w:t>Specific:</w:t>
      </w:r>
      <w:r w:rsidRPr="0088763B">
        <w:rPr>
          <w:rFonts w:ascii="Cambria" w:hAnsi="Cambria"/>
        </w:rPr>
        <w:t xml:space="preserve"> Targeting customers with </w:t>
      </w:r>
      <w:r w:rsidRPr="0088763B">
        <w:rPr>
          <w:rStyle w:val="Strong"/>
          <w:rFonts w:ascii="Cambria" w:hAnsi="Cambria"/>
        </w:rPr>
        <w:t>high credit utilization (&gt;70%)</w:t>
      </w:r>
      <w:r w:rsidRPr="0088763B">
        <w:rPr>
          <w:rFonts w:ascii="Cambria" w:hAnsi="Cambria"/>
        </w:rPr>
        <w:t>, providing automated alerts and personalized repayment assistance.</w:t>
      </w:r>
    </w:p>
    <w:p w14:paraId="0629E943" w14:textId="77777777" w:rsidR="0088763B" w:rsidRDefault="0088763B" w:rsidP="0088763B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88763B">
        <w:rPr>
          <w:rStyle w:val="Strong"/>
          <w:rFonts w:ascii="Cambria" w:hAnsi="Cambria"/>
        </w:rPr>
        <w:t>Measurable:</w:t>
      </w:r>
      <w:r w:rsidRPr="0088763B">
        <w:rPr>
          <w:rFonts w:ascii="Cambria" w:hAnsi="Cambria"/>
        </w:rPr>
        <w:t xml:space="preserve"> Achieving a </w:t>
      </w:r>
      <w:r w:rsidRPr="0088763B">
        <w:rPr>
          <w:rStyle w:val="Strong"/>
          <w:rFonts w:ascii="Cambria" w:hAnsi="Cambria"/>
        </w:rPr>
        <w:t>15% reduction in delinquency rates</w:t>
      </w:r>
      <w:r w:rsidRPr="0088763B">
        <w:rPr>
          <w:rFonts w:ascii="Cambria" w:hAnsi="Cambria"/>
        </w:rPr>
        <w:t xml:space="preserve">, tracking success through financial and engagement metrics. </w:t>
      </w:r>
    </w:p>
    <w:p w14:paraId="10E6733A" w14:textId="77777777" w:rsidR="0088763B" w:rsidRDefault="0088763B" w:rsidP="0088763B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88763B">
        <w:rPr>
          <w:rStyle w:val="Strong"/>
          <w:rFonts w:ascii="Cambria" w:hAnsi="Cambria"/>
        </w:rPr>
        <w:t>Actionable:</w:t>
      </w:r>
      <w:r w:rsidRPr="0088763B">
        <w:rPr>
          <w:rFonts w:ascii="Cambria" w:hAnsi="Cambria"/>
        </w:rPr>
        <w:t xml:space="preserve"> Implementing </w:t>
      </w:r>
      <w:r w:rsidRPr="0088763B">
        <w:rPr>
          <w:rStyle w:val="Strong"/>
          <w:rFonts w:ascii="Cambria" w:hAnsi="Cambria"/>
        </w:rPr>
        <w:t>real-time monitoring</w:t>
      </w:r>
      <w:r w:rsidRPr="0088763B">
        <w:rPr>
          <w:rFonts w:ascii="Cambria" w:hAnsi="Cambria"/>
        </w:rPr>
        <w:t xml:space="preserve">, automated customer notifications, and structured repayment plans. </w:t>
      </w:r>
    </w:p>
    <w:p w14:paraId="73DF4146" w14:textId="77777777" w:rsidR="0088763B" w:rsidRDefault="0088763B" w:rsidP="0088763B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88763B">
        <w:rPr>
          <w:rStyle w:val="Strong"/>
          <w:rFonts w:ascii="Cambria" w:hAnsi="Cambria"/>
        </w:rPr>
        <w:t>Relevant:</w:t>
      </w:r>
      <w:r w:rsidRPr="0088763B">
        <w:rPr>
          <w:rFonts w:ascii="Cambria" w:hAnsi="Cambria"/>
        </w:rPr>
        <w:t xml:space="preserve"> Directly addresses a major </w:t>
      </w:r>
      <w:r w:rsidRPr="0088763B">
        <w:rPr>
          <w:rStyle w:val="Strong"/>
          <w:rFonts w:ascii="Cambria" w:hAnsi="Cambria"/>
        </w:rPr>
        <w:t>risk factor</w:t>
      </w:r>
      <w:r w:rsidRPr="0088763B">
        <w:rPr>
          <w:rFonts w:ascii="Cambria" w:hAnsi="Cambria"/>
        </w:rPr>
        <w:t xml:space="preserve"> for delinquency, improving financial stability for high-risk customers. </w:t>
      </w:r>
    </w:p>
    <w:p w14:paraId="56D80607" w14:textId="77777777" w:rsidR="0088763B" w:rsidRDefault="0088763B" w:rsidP="0088763B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88763B">
        <w:rPr>
          <w:rStyle w:val="Strong"/>
          <w:rFonts w:ascii="Cambria" w:hAnsi="Cambria"/>
        </w:rPr>
        <w:t>Time-bound:</w:t>
      </w:r>
      <w:r w:rsidRPr="0088763B">
        <w:rPr>
          <w:rFonts w:ascii="Cambria" w:hAnsi="Cambria"/>
        </w:rPr>
        <w:t xml:space="preserve"> Completing the initiative </w:t>
      </w:r>
      <w:r w:rsidRPr="0088763B">
        <w:rPr>
          <w:rStyle w:val="Strong"/>
          <w:rFonts w:ascii="Cambria" w:hAnsi="Cambria"/>
        </w:rPr>
        <w:t>by the end of Q2 2025</w:t>
      </w:r>
      <w:r w:rsidRPr="0088763B">
        <w:rPr>
          <w:rFonts w:ascii="Cambria" w:hAnsi="Cambria"/>
        </w:rPr>
        <w:t>, ensuring timely intervention and measurable impact.</w:t>
      </w:r>
    </w:p>
    <w:p w14:paraId="7493CB2F" w14:textId="77777777" w:rsidR="0088763B" w:rsidRDefault="0088763B" w:rsidP="0088763B">
      <w:pPr>
        <w:pStyle w:val="ListParagraph"/>
        <w:rPr>
          <w:rFonts w:ascii="Cambria" w:hAnsi="Cambria"/>
        </w:rPr>
      </w:pPr>
    </w:p>
    <w:p w14:paraId="08DFB2F5" w14:textId="76FDFCFF" w:rsidR="0088763B" w:rsidRDefault="0088763B" w:rsidP="0088763B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88763B">
        <w:rPr>
          <w:rStyle w:val="Strong"/>
          <w:rFonts w:ascii="Cambria" w:hAnsi="Cambria"/>
        </w:rPr>
        <w:t>Justification &amp; Business Rationale:</w:t>
      </w:r>
      <w:r w:rsidRPr="0088763B">
        <w:rPr>
          <w:rFonts w:ascii="Cambria" w:hAnsi="Cambria"/>
        </w:rPr>
        <w:t xml:space="preserve"> Proactively addressing high credit utilization allows </w:t>
      </w:r>
      <w:proofErr w:type="spellStart"/>
      <w:r w:rsidRPr="0088763B">
        <w:rPr>
          <w:rFonts w:ascii="Cambria" w:hAnsi="Cambria"/>
        </w:rPr>
        <w:t>Geldium</w:t>
      </w:r>
      <w:proofErr w:type="spellEnd"/>
      <w:r w:rsidRPr="0088763B">
        <w:rPr>
          <w:rFonts w:ascii="Cambria" w:hAnsi="Cambria"/>
        </w:rPr>
        <w:t xml:space="preserve"> to </w:t>
      </w:r>
      <w:r w:rsidRPr="0088763B">
        <w:rPr>
          <w:rStyle w:val="Strong"/>
          <w:rFonts w:ascii="Cambria" w:hAnsi="Cambria"/>
        </w:rPr>
        <w:t>minimize default rates</w:t>
      </w:r>
      <w:r w:rsidRPr="0088763B">
        <w:rPr>
          <w:rFonts w:ascii="Cambria" w:hAnsi="Cambria"/>
        </w:rPr>
        <w:t xml:space="preserve">, improve customer financial stability, and optimize collection efforts. Offering structured repayment solutions ensures </w:t>
      </w:r>
      <w:r w:rsidRPr="0088763B">
        <w:rPr>
          <w:rStyle w:val="Strong"/>
          <w:rFonts w:ascii="Cambria" w:hAnsi="Cambria"/>
        </w:rPr>
        <w:t>better loan recovery outcomes</w:t>
      </w:r>
      <w:r w:rsidRPr="0088763B">
        <w:rPr>
          <w:rFonts w:ascii="Cambria" w:hAnsi="Cambria"/>
        </w:rPr>
        <w:t xml:space="preserve"> while maintaining customer satisfaction.</w:t>
      </w:r>
    </w:p>
    <w:p w14:paraId="3AA78F7C" w14:textId="10EDEBB6" w:rsidR="00A72B9F" w:rsidRPr="00A72B9F" w:rsidRDefault="00A537D1" w:rsidP="00A72B9F">
      <w:pPr>
        <w:pStyle w:val="Heading1"/>
        <w:rPr>
          <w:rFonts w:ascii="Cambria" w:hAnsi="Cambria" w:cs="Arial"/>
          <w:color w:val="000000" w:themeColor="text1"/>
        </w:rPr>
      </w:pPr>
      <w:r w:rsidRPr="00310AC1">
        <w:rPr>
          <w:rFonts w:ascii="Cambria" w:hAnsi="Cambria" w:cs="Arial"/>
          <w:color w:val="000000" w:themeColor="text1"/>
        </w:rPr>
        <w:t>3. Ethical and Responsible AI Considerations</w:t>
      </w:r>
      <w:r w:rsidR="00A72B9F">
        <w:rPr>
          <w:rFonts w:ascii="Cambria" w:hAnsi="Cambria" w:cs="Arial"/>
          <w:color w:val="000000" w:themeColor="text1"/>
        </w:rPr>
        <w:t>:</w:t>
      </w:r>
    </w:p>
    <w:p w14:paraId="3CFA6530" w14:textId="7E310385" w:rsidR="00A72B9F" w:rsidRPr="00A72B9F" w:rsidRDefault="00A72B9F" w:rsidP="00A72B9F">
      <w:pPr>
        <w:rPr>
          <w:b/>
          <w:sz w:val="24"/>
          <w:szCs w:val="24"/>
        </w:rPr>
      </w:pPr>
      <w:r w:rsidRPr="00A72B9F">
        <w:rPr>
          <w:b/>
          <w:sz w:val="24"/>
          <w:szCs w:val="24"/>
        </w:rPr>
        <w:t>Fairness and Bias Risks</w:t>
      </w:r>
      <w:r w:rsidRPr="00A72B9F">
        <w:rPr>
          <w:b/>
          <w:sz w:val="24"/>
          <w:szCs w:val="24"/>
        </w:rPr>
        <w:t>:</w:t>
      </w:r>
    </w:p>
    <w:p w14:paraId="033D00B1" w14:textId="5A400F83" w:rsidR="00A72B9F" w:rsidRDefault="00A72B9F" w:rsidP="00A72B9F">
      <w:r>
        <w:t>Predictive models must ensure fair treatment across customer groups to prevent discriminatory outcomes. Two key fairness risks identified in the de</w:t>
      </w:r>
      <w:r>
        <w:t>linquency prediction model are:</w:t>
      </w:r>
    </w:p>
    <w:p w14:paraId="623F29D0" w14:textId="02B924AB" w:rsidR="00A72B9F" w:rsidRDefault="00A72B9F" w:rsidP="00A72B9F">
      <w:r>
        <w:t>1.</w:t>
      </w:r>
      <w:r>
        <w:t>Bias in Cr</w:t>
      </w:r>
      <w:r>
        <w:t>edit Score &amp; Income Predictions:</w:t>
      </w:r>
    </w:p>
    <w:p w14:paraId="6DD07078" w14:textId="2D0DB762" w:rsidR="00A72B9F" w:rsidRDefault="00A72B9F" w:rsidP="00A72B9F">
      <w:pPr>
        <w:pStyle w:val="ListParagraph"/>
        <w:numPr>
          <w:ilvl w:val="0"/>
          <w:numId w:val="18"/>
        </w:numPr>
      </w:pPr>
      <w:r>
        <w:t>Risk: Customers with lower incomes or historically lower credit scores may be disproportionately classified as high-risk, reinforcing s</w:t>
      </w:r>
      <w:r>
        <w:t>ystemic financial inequalities.</w:t>
      </w:r>
    </w:p>
    <w:p w14:paraId="3723C42B" w14:textId="0EEA878D" w:rsidR="00A72B9F" w:rsidRDefault="00A72B9F" w:rsidP="00A72B9F">
      <w:pPr>
        <w:pStyle w:val="ListParagraph"/>
        <w:numPr>
          <w:ilvl w:val="0"/>
          <w:numId w:val="18"/>
        </w:numPr>
      </w:pPr>
      <w:r>
        <w:t>Mitigation: Implement fairness-aware algorithms, such as equalized odds adjustments, and regularly audit model predictions to</w:t>
      </w:r>
      <w:r>
        <w:t xml:space="preserve"> ensure demographic neutrality.</w:t>
      </w:r>
    </w:p>
    <w:p w14:paraId="3CD22620" w14:textId="6F46579F" w:rsidR="00A72B9F" w:rsidRDefault="00A72B9F" w:rsidP="00A72B9F">
      <w:r>
        <w:t xml:space="preserve"> 2.</w:t>
      </w:r>
      <w:r>
        <w:t>Employment Status I</w:t>
      </w:r>
      <w:r>
        <w:t>mpact on Delinquency Prediction</w:t>
      </w:r>
    </w:p>
    <w:p w14:paraId="50E26497" w14:textId="021253D3" w:rsidR="00A72B9F" w:rsidRDefault="00A72B9F" w:rsidP="00A72B9F">
      <w:pPr>
        <w:pStyle w:val="ListParagraph"/>
        <w:numPr>
          <w:ilvl w:val="0"/>
          <w:numId w:val="17"/>
        </w:numPr>
      </w:pPr>
      <w:r>
        <w:t>Risk: Customers categorized as "Unemployed" or "Self-Employed" may face unfair treatment if the model relies too heavily on em</w:t>
      </w:r>
      <w:r>
        <w:t>ployment status to assess risk.</w:t>
      </w:r>
    </w:p>
    <w:p w14:paraId="20323B55" w14:textId="7F320989" w:rsidR="00A72B9F" w:rsidRDefault="00A72B9F" w:rsidP="00A72B9F">
      <w:pPr>
        <w:pStyle w:val="ListParagraph"/>
        <w:numPr>
          <w:ilvl w:val="0"/>
          <w:numId w:val="17"/>
        </w:numPr>
      </w:pPr>
      <w:r>
        <w:t>Mitigation: Use alternative indicators of financial stability (e.g., savings, payment behavior) rather than solely relying on employment status as a predictor.</w:t>
      </w:r>
    </w:p>
    <w:p w14:paraId="5A7429C4" w14:textId="18DD36CC" w:rsidR="00A72B9F" w:rsidRPr="00A72B9F" w:rsidRDefault="00A72B9F" w:rsidP="00A72B9F">
      <w:pPr>
        <w:rPr>
          <w:b/>
          <w:sz w:val="24"/>
          <w:szCs w:val="24"/>
        </w:rPr>
      </w:pPr>
      <w:proofErr w:type="spellStart"/>
      <w:r w:rsidRPr="00A72B9F">
        <w:rPr>
          <w:b/>
          <w:sz w:val="24"/>
          <w:szCs w:val="24"/>
        </w:rPr>
        <w:lastRenderedPageBreak/>
        <w:t>Explainability</w:t>
      </w:r>
      <w:proofErr w:type="spellEnd"/>
      <w:r w:rsidRPr="00A72B9F">
        <w:rPr>
          <w:b/>
          <w:sz w:val="24"/>
          <w:szCs w:val="24"/>
        </w:rPr>
        <w:t xml:space="preserve"> &amp; Transparency</w:t>
      </w:r>
      <w:r w:rsidRPr="00A72B9F">
        <w:rPr>
          <w:b/>
          <w:sz w:val="24"/>
          <w:szCs w:val="24"/>
        </w:rPr>
        <w:t>:</w:t>
      </w:r>
    </w:p>
    <w:p w14:paraId="1E3FE78E" w14:textId="39AA70C6" w:rsidR="00A72B9F" w:rsidRDefault="00A72B9F" w:rsidP="00A72B9F">
      <w:r>
        <w:t>To ensure stakeholders understand mo</w:t>
      </w:r>
      <w:r>
        <w:t>del predictions, we prioritize:</w:t>
      </w:r>
    </w:p>
    <w:p w14:paraId="4BEFFC7D" w14:textId="2C1D3B43" w:rsidR="00A72B9F" w:rsidRDefault="00A72B9F" w:rsidP="00A72B9F">
      <w:pPr>
        <w:pStyle w:val="ListParagraph"/>
        <w:numPr>
          <w:ilvl w:val="0"/>
          <w:numId w:val="21"/>
        </w:numPr>
      </w:pPr>
      <w:r>
        <w:t>Feature importance analysis: Use SHAP values to show why a cu</w:t>
      </w:r>
      <w:r>
        <w:t>stomer was flagged as high risk.</w:t>
      </w:r>
    </w:p>
    <w:p w14:paraId="75C78A30" w14:textId="12A275B3" w:rsidR="00A72B9F" w:rsidRDefault="00A72B9F" w:rsidP="00A72B9F">
      <w:pPr>
        <w:pStyle w:val="ListParagraph"/>
        <w:numPr>
          <w:ilvl w:val="0"/>
          <w:numId w:val="21"/>
        </w:numPr>
      </w:pPr>
      <w:r>
        <w:t>Clear communication: Provide customer-friendly explanations such as: &gt; "Your delinquency risk increased due to multiple missed payment</w:t>
      </w:r>
      <w:r>
        <w:t>s and high credit utilization."</w:t>
      </w:r>
    </w:p>
    <w:p w14:paraId="3DA4D49D" w14:textId="7FDEEAF3" w:rsidR="00A72B9F" w:rsidRDefault="00A72B9F" w:rsidP="00A72B9F">
      <w:pPr>
        <w:pStyle w:val="ListParagraph"/>
        <w:numPr>
          <w:ilvl w:val="0"/>
          <w:numId w:val="21"/>
        </w:numPr>
      </w:pPr>
      <w:r>
        <w:t>Dashboard insights: Develop interactive visuals for decision-makers to track delinquency patterns.</w:t>
      </w:r>
    </w:p>
    <w:p w14:paraId="5F358FBB" w14:textId="3725AFF3" w:rsidR="00A72B9F" w:rsidRDefault="00A72B9F" w:rsidP="00A72B9F">
      <w:r w:rsidRPr="00A72B9F">
        <w:rPr>
          <w:b/>
          <w:sz w:val="24"/>
          <w:szCs w:val="24"/>
        </w:rPr>
        <w:t>Responsible Financial Decision-Making</w:t>
      </w:r>
      <w:r>
        <w:t>:</w:t>
      </w:r>
    </w:p>
    <w:p w14:paraId="0636ADAF" w14:textId="020609D3" w:rsidR="00A72B9F" w:rsidRDefault="00A72B9F" w:rsidP="00A72B9F">
      <w:r>
        <w:t>The recommendat</w:t>
      </w:r>
      <w:r>
        <w:t>ion supports ethical AI use by:</w:t>
      </w:r>
    </w:p>
    <w:p w14:paraId="113E4FF1" w14:textId="4E7218EA" w:rsidR="00A72B9F" w:rsidRDefault="00A72B9F" w:rsidP="00A72B9F">
      <w:pPr>
        <w:pStyle w:val="ListParagraph"/>
        <w:numPr>
          <w:ilvl w:val="0"/>
          <w:numId w:val="22"/>
        </w:numPr>
      </w:pPr>
      <w:r>
        <w:t>Proactively assisting customers with financial challenges rather than penal</w:t>
      </w:r>
      <w:r>
        <w:t>izing them immediately.</w:t>
      </w:r>
    </w:p>
    <w:p w14:paraId="35C41594" w14:textId="55E2D661" w:rsidR="00A72B9F" w:rsidRDefault="00A72B9F" w:rsidP="00A72B9F">
      <w:pPr>
        <w:pStyle w:val="ListParagraph"/>
        <w:numPr>
          <w:ilvl w:val="0"/>
          <w:numId w:val="22"/>
        </w:numPr>
      </w:pPr>
      <w:r>
        <w:t xml:space="preserve">Reducing false positives in delinquency classification, ensuring only truly at-risk </w:t>
      </w:r>
      <w:r>
        <w:t>customers receive intervention.</w:t>
      </w:r>
    </w:p>
    <w:p w14:paraId="25E85F4B" w14:textId="5C4FA5C5" w:rsidR="00A72B9F" w:rsidRDefault="00A72B9F" w:rsidP="00A72B9F">
      <w:pPr>
        <w:pStyle w:val="ListParagraph"/>
        <w:numPr>
          <w:ilvl w:val="0"/>
          <w:numId w:val="22"/>
        </w:numPr>
      </w:pPr>
      <w:r>
        <w:t>Encouraging transparency in credit risk evaluations, helping customers understand and improve their financial standing.</w:t>
      </w:r>
    </w:p>
    <w:p w14:paraId="1A15E9CA" w14:textId="51543227" w:rsidR="00A72B9F" w:rsidRPr="00A72B9F" w:rsidRDefault="00A72B9F" w:rsidP="00A72B9F">
      <w:pPr>
        <w:rPr>
          <w:b/>
          <w:sz w:val="24"/>
          <w:szCs w:val="24"/>
        </w:rPr>
      </w:pPr>
      <w:r w:rsidRPr="00A72B9F">
        <w:rPr>
          <w:b/>
          <w:sz w:val="24"/>
          <w:szCs w:val="24"/>
        </w:rPr>
        <w:t>Additional Ethical Principles Considered</w:t>
      </w:r>
      <w:r w:rsidRPr="00A72B9F">
        <w:rPr>
          <w:b/>
          <w:sz w:val="24"/>
          <w:szCs w:val="24"/>
        </w:rPr>
        <w:t>:</w:t>
      </w:r>
    </w:p>
    <w:p w14:paraId="59D89255" w14:textId="214B7762" w:rsidR="00A72B9F" w:rsidRDefault="00A72B9F" w:rsidP="00A72B9F">
      <w:pPr>
        <w:pStyle w:val="ListParagraph"/>
        <w:numPr>
          <w:ilvl w:val="0"/>
          <w:numId w:val="23"/>
        </w:numPr>
      </w:pPr>
      <w:r>
        <w:t>Transparency: Maintain audit logs to ensure</w:t>
      </w:r>
      <w:r>
        <w:t xml:space="preserve"> </w:t>
      </w:r>
      <w:proofErr w:type="spellStart"/>
      <w:r>
        <w:t>explainability</w:t>
      </w:r>
      <w:proofErr w:type="spellEnd"/>
      <w:r>
        <w:t xml:space="preserve"> in predictions.</w:t>
      </w:r>
    </w:p>
    <w:p w14:paraId="20FED14E" w14:textId="296B6FF5" w:rsidR="00A72B9F" w:rsidRDefault="00A72B9F" w:rsidP="00A72B9F">
      <w:pPr>
        <w:pStyle w:val="ListParagraph"/>
        <w:numPr>
          <w:ilvl w:val="0"/>
          <w:numId w:val="23"/>
        </w:numPr>
      </w:pPr>
      <w:r>
        <w:t>Accountability: Conduct ongoing fairness audits to pre</w:t>
      </w:r>
      <w:r>
        <w:t>vent bias drift over time.</w:t>
      </w:r>
    </w:p>
    <w:p w14:paraId="0BAE2F7E" w14:textId="7A2FDCF0" w:rsidR="00A72B9F" w:rsidRDefault="00A72B9F" w:rsidP="00A72B9F">
      <w:pPr>
        <w:pStyle w:val="ListParagraph"/>
        <w:numPr>
          <w:ilvl w:val="0"/>
          <w:numId w:val="23"/>
        </w:numPr>
      </w:pPr>
      <w:r>
        <w:t>Data Privacy: Secure sensitive financial data and co</w:t>
      </w:r>
      <w:r>
        <w:t>mply with regulatory standards.</w:t>
      </w:r>
    </w:p>
    <w:p w14:paraId="76975DF7" w14:textId="3460B30A" w:rsidR="00A72B9F" w:rsidRPr="00A72B9F" w:rsidRDefault="00A72B9F" w:rsidP="00A72B9F">
      <w:r>
        <w:t xml:space="preserve">By incorporating fairness checks, explainable AI techniques, and ethical considerations, the model ensures responsible, transparent, and unbiased delinquency risk assessment for </w:t>
      </w:r>
      <w:proofErr w:type="spellStart"/>
      <w:r>
        <w:t>Geldium</w:t>
      </w:r>
      <w:proofErr w:type="spellEnd"/>
      <w:r>
        <w:t xml:space="preserve"> Finance.</w:t>
      </w:r>
      <w:bookmarkStart w:id="0" w:name="_GoBack"/>
      <w:bookmarkEnd w:id="0"/>
    </w:p>
    <w:sectPr w:rsidR="00A72B9F" w:rsidRPr="00A72B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4E6B34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9D20F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FA2F31"/>
    <w:multiLevelType w:val="hybridMultilevel"/>
    <w:tmpl w:val="3D3200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FA3CB5"/>
    <w:multiLevelType w:val="hybridMultilevel"/>
    <w:tmpl w:val="6C988E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783035"/>
    <w:multiLevelType w:val="hybridMultilevel"/>
    <w:tmpl w:val="B39AC3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120CA2"/>
    <w:multiLevelType w:val="hybridMultilevel"/>
    <w:tmpl w:val="C6400C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72689"/>
    <w:multiLevelType w:val="hybridMultilevel"/>
    <w:tmpl w:val="F9A835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D4837"/>
    <w:multiLevelType w:val="multilevel"/>
    <w:tmpl w:val="7112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17DDB"/>
    <w:multiLevelType w:val="hybridMultilevel"/>
    <w:tmpl w:val="F96654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F7495"/>
    <w:multiLevelType w:val="hybridMultilevel"/>
    <w:tmpl w:val="941C5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E07C0"/>
    <w:multiLevelType w:val="hybridMultilevel"/>
    <w:tmpl w:val="E4566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A26FA"/>
    <w:multiLevelType w:val="hybridMultilevel"/>
    <w:tmpl w:val="F6C8F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54FE7"/>
    <w:multiLevelType w:val="hybridMultilevel"/>
    <w:tmpl w:val="0FE066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05670"/>
    <w:multiLevelType w:val="hybridMultilevel"/>
    <w:tmpl w:val="893AFE26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1" w15:restartNumberingAfterBreak="0">
    <w:nsid w:val="7D893462"/>
    <w:multiLevelType w:val="hybridMultilevel"/>
    <w:tmpl w:val="8EC82F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F7D15"/>
    <w:multiLevelType w:val="hybridMultilevel"/>
    <w:tmpl w:val="DC983C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6"/>
  </w:num>
  <w:num w:numId="12">
    <w:abstractNumId w:val="10"/>
  </w:num>
  <w:num w:numId="13">
    <w:abstractNumId w:val="22"/>
  </w:num>
  <w:num w:numId="14">
    <w:abstractNumId w:val="20"/>
  </w:num>
  <w:num w:numId="15">
    <w:abstractNumId w:val="11"/>
  </w:num>
  <w:num w:numId="16">
    <w:abstractNumId w:val="17"/>
  </w:num>
  <w:num w:numId="17">
    <w:abstractNumId w:val="12"/>
  </w:num>
  <w:num w:numId="18">
    <w:abstractNumId w:val="15"/>
  </w:num>
  <w:num w:numId="19">
    <w:abstractNumId w:val="21"/>
  </w:num>
  <w:num w:numId="20">
    <w:abstractNumId w:val="18"/>
  </w:num>
  <w:num w:numId="21">
    <w:abstractNumId w:val="9"/>
  </w:num>
  <w:num w:numId="22">
    <w:abstractNumId w:val="1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10AC1"/>
    <w:rsid w:val="00326F90"/>
    <w:rsid w:val="007D72C2"/>
    <w:rsid w:val="008237CA"/>
    <w:rsid w:val="0088763B"/>
    <w:rsid w:val="00A537D1"/>
    <w:rsid w:val="00A72B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310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9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1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3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70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13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0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0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3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4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3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0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8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1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7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3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0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5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2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3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76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9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7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2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9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2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2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3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88A51C-46DC-41F8-81A5-60E82D63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2025-06-11T12:01:00Z</dcterms:created>
  <dcterms:modified xsi:type="dcterms:W3CDTF">2025-06-11T12:01:00Z</dcterms:modified>
  <cp:category/>
</cp:coreProperties>
</file>