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Title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of p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aper 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Comparative Evaluation of Submucosal Diathermy and Coblation-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Assisted Turbinate Reduction in Patients with Inferior Turbinate Hypertroph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y 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Presenting Author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: Dr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Ramneet Kour ( Junior Resident Dept. of ENT &amp;HNS , GMC JAMMU )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Affiliation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: GMC Jammu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Aim</w:t>
      </w:r>
      <w:r>
        <w:rPr>
          <w:rFonts w:ascii="Times New Roman" w:hAnsi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To compare the efficacy and postoperative outcomes of submucosal diathermy and coblation in the reduction of hypertrophied inferior turbinates, using subjective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assessments.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6"/>
          <w:szCs w:val="26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Methods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This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is a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comparative study conducted in the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Department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ENT &amp; HNS at GMC Jammu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over a period of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8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month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.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is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study aimed to compare the efficacy and outcomes of submucosal diathermy (SMD) and coblation-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assisted turbinate reduction in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forty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patients with inferior turbinate hypertrophy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using subjective assessment scores.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Results</w:t>
      </w:r>
      <w:r>
        <w:rPr>
          <w:rFonts w:ascii="Times New Roman" w:hAnsi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According to the findings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obtained in our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study, both submucosal diathermy and coblation techniques resulted in significant improvement in nasal obstruction. However, the degree of symptomatic relief was greater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in the patients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treated with coblation. Moreover, coblation was associated with less intraoperative and postoperative pain.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The difference between the two methods was statistically significant (p &lt; 0.05).</w:t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Conclusion</w:t>
      </w:r>
      <w:r>
        <w:rPr>
          <w:rFonts w:ascii="Times New Roman" w:hAnsi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Both techniques were effective in reducing nasal obstruction. However, Coblation produced superior symptomatic improvement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and fewer postoperative complications compared to submucosal diathermy.</w:t>
      </w:r>
      <w:r>
        <w:rPr>
          <w:rFonts w:ascii="Times New Roman" w:cs="Times New Roman" w:hAnsi="Times New Roman" w:eastAsia="Times New Roman"/>
          <w:sz w:val="24"/>
          <w:szCs w:val="24"/>
          <w:u w:color="000000"/>
          <w:rtl w:val="0"/>
          <w14:textOutline w14:w="12700" w14:cap="flat">
            <w14:noFill/>
            <w14:miter w14:lim="400000"/>
          </w14:textOutline>
        </w:rPr>
        <w:br w:type="page"/>
      </w:r>
    </w:p>
    <w:p>
      <w:pPr>
        <w:pStyle w:val="Default"/>
        <w:bidi w:val="0"/>
        <w:spacing w:before="0" w:line="276" w:lineRule="auto"/>
        <w:ind w:left="0" w:right="0" w:firstLine="0"/>
        <w:jc w:val="left"/>
        <w:rPr>
          <w:rtl w:val="0"/>
        </w:rPr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162194</wp:posOffset>
            </wp:positionH>
            <wp:positionV relativeFrom="page">
              <wp:posOffset>309831</wp:posOffset>
            </wp:positionV>
            <wp:extent cx="6855289" cy="9706604"/>
            <wp:effectExtent l="0" t="0" r="0" b="0"/>
            <wp:wrapTopAndBottom distT="152400" distB="152400"/>
            <wp:docPr id="1073741825" name="officeArt object" descr="3adabc21-8546-4b91-a66f-9fe70776842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3adabc21-8546-4b91-a66f-9fe70776842e.jpeg" descr="3adabc21-8546-4b91-a66f-9fe70776842e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289" cy="9706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