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469B" w:rsidRPr="0065783A" w:rsidRDefault="00352EF6" w:rsidP="0001469B">
      <w:pPr>
        <w:spacing w:after="0" w:line="240" w:lineRule="auto"/>
        <w:rPr>
          <w:rFonts w:ascii="Times New Roman" w:hAnsi="Times New Roman" w:cs="Times New Roman"/>
          <w:b/>
          <w:sz w:val="24"/>
          <w:szCs w:val="24"/>
        </w:rPr>
      </w:pPr>
      <w:r w:rsidRPr="0065783A">
        <w:rPr>
          <w:rFonts w:ascii="Times New Roman" w:hAnsi="Times New Roman" w:cs="Times New Roman"/>
          <w:b/>
          <w:sz w:val="24"/>
          <w:szCs w:val="24"/>
        </w:rPr>
        <w:t>From Crisis to Clarity: Visual Recovery After Endoscopic Management of Pituitary Apoplexy</w:t>
      </w:r>
    </w:p>
    <w:p w:rsidR="00352EF6" w:rsidRPr="0065783A" w:rsidRDefault="00352EF6" w:rsidP="0001469B">
      <w:pPr>
        <w:spacing w:after="0" w:line="240" w:lineRule="auto"/>
        <w:rPr>
          <w:rFonts w:ascii="Times New Roman" w:hAnsi="Times New Roman" w:cs="Times New Roman"/>
          <w:b/>
          <w:sz w:val="24"/>
          <w:szCs w:val="24"/>
        </w:rPr>
      </w:pPr>
    </w:p>
    <w:p w:rsidR="00352EF6" w:rsidRPr="0065783A" w:rsidRDefault="0065783A" w:rsidP="0001469B">
      <w:pPr>
        <w:spacing w:after="0" w:line="240" w:lineRule="auto"/>
        <w:rPr>
          <w:rFonts w:ascii="Times New Roman" w:hAnsi="Times New Roman" w:cs="Times New Roman"/>
          <w:b/>
          <w:sz w:val="24"/>
          <w:szCs w:val="24"/>
        </w:rPr>
      </w:pPr>
      <w:r w:rsidRPr="0065783A">
        <w:rPr>
          <w:rFonts w:ascii="Times New Roman" w:hAnsi="Times New Roman" w:cs="Times New Roman"/>
          <w:b/>
          <w:sz w:val="24"/>
          <w:szCs w:val="24"/>
        </w:rPr>
        <w:t xml:space="preserve">Presentor : </w:t>
      </w:r>
      <w:r w:rsidR="00352EF6" w:rsidRPr="0065783A">
        <w:rPr>
          <w:rFonts w:ascii="Times New Roman" w:hAnsi="Times New Roman" w:cs="Times New Roman"/>
          <w:b/>
          <w:sz w:val="24"/>
          <w:szCs w:val="24"/>
        </w:rPr>
        <w:t>Dr. S. Thrupthi</w:t>
      </w:r>
    </w:p>
    <w:p w:rsidR="00352EF6" w:rsidRPr="0065783A" w:rsidRDefault="0065783A" w:rsidP="0001469B">
      <w:pPr>
        <w:spacing w:after="0" w:line="240" w:lineRule="auto"/>
        <w:rPr>
          <w:rFonts w:ascii="Times New Roman" w:hAnsi="Times New Roman" w:cs="Times New Roman"/>
          <w:b/>
          <w:sz w:val="24"/>
          <w:szCs w:val="24"/>
        </w:rPr>
      </w:pPr>
      <w:r w:rsidRPr="0065783A">
        <w:rPr>
          <w:rFonts w:ascii="Times New Roman" w:hAnsi="Times New Roman" w:cs="Times New Roman"/>
          <w:b/>
          <w:sz w:val="24"/>
          <w:szCs w:val="24"/>
        </w:rPr>
        <w:t xml:space="preserve">                     </w:t>
      </w:r>
      <w:r w:rsidR="00352EF6" w:rsidRPr="0065783A">
        <w:rPr>
          <w:rFonts w:ascii="Times New Roman" w:hAnsi="Times New Roman" w:cs="Times New Roman"/>
          <w:b/>
          <w:sz w:val="24"/>
          <w:szCs w:val="24"/>
        </w:rPr>
        <w:t xml:space="preserve">Assistant Professor </w:t>
      </w:r>
    </w:p>
    <w:p w:rsidR="0001469B" w:rsidRPr="0001469B" w:rsidRDefault="0001469B" w:rsidP="0001469B">
      <w:pPr>
        <w:spacing w:before="100" w:beforeAutospacing="1" w:after="100" w:afterAutospacing="1" w:line="240" w:lineRule="auto"/>
        <w:rPr>
          <w:rFonts w:ascii="Times New Roman" w:eastAsia="Times New Roman" w:hAnsi="Times New Roman" w:cs="Times New Roman"/>
          <w:sz w:val="24"/>
          <w:szCs w:val="24"/>
        </w:rPr>
      </w:pPr>
      <w:r w:rsidRPr="0065783A">
        <w:rPr>
          <w:rFonts w:ascii="Times New Roman" w:eastAsia="Times New Roman" w:hAnsi="Times New Roman" w:cs="Times New Roman"/>
          <w:b/>
          <w:bCs/>
          <w:sz w:val="24"/>
          <w:szCs w:val="24"/>
        </w:rPr>
        <w:t>Abstract</w:t>
      </w:r>
    </w:p>
    <w:p w:rsidR="0001469B" w:rsidRPr="0001469B" w:rsidRDefault="0001469B" w:rsidP="0001469B">
      <w:pPr>
        <w:spacing w:before="100" w:beforeAutospacing="1" w:after="100" w:afterAutospacing="1" w:line="240" w:lineRule="auto"/>
        <w:rPr>
          <w:rFonts w:ascii="Times New Roman" w:eastAsia="Times New Roman" w:hAnsi="Times New Roman" w:cs="Times New Roman"/>
          <w:sz w:val="24"/>
          <w:szCs w:val="24"/>
        </w:rPr>
      </w:pPr>
      <w:r w:rsidRPr="0065783A">
        <w:rPr>
          <w:rFonts w:ascii="Times New Roman" w:eastAsia="Times New Roman" w:hAnsi="Times New Roman" w:cs="Times New Roman"/>
          <w:b/>
          <w:bCs/>
          <w:sz w:val="24"/>
          <w:szCs w:val="24"/>
        </w:rPr>
        <w:t>Background:</w:t>
      </w:r>
      <w:r w:rsidRPr="0001469B">
        <w:rPr>
          <w:rFonts w:ascii="Times New Roman" w:eastAsia="Times New Roman" w:hAnsi="Times New Roman" w:cs="Times New Roman"/>
          <w:sz w:val="24"/>
          <w:szCs w:val="24"/>
        </w:rPr>
        <w:t xml:space="preserve"> Pituitary apoplexy is an acute neuroendocrine emergency characterized by sudden hemorrhage or infarction within the pituitary gland, often in a pre-existing adenoma. Owing to its close anatomical relationship with the sphenoid sinus and optic apparatus, ENT surgeons—especially those trained in endoscopic skull-base approaches—play a vital role in timely diagnosis and management.</w:t>
      </w:r>
    </w:p>
    <w:p w:rsidR="0001469B" w:rsidRPr="0001469B" w:rsidRDefault="0001469B" w:rsidP="0001469B">
      <w:pPr>
        <w:spacing w:before="100" w:beforeAutospacing="1" w:after="100" w:afterAutospacing="1" w:line="240" w:lineRule="auto"/>
        <w:rPr>
          <w:rFonts w:ascii="Times New Roman" w:eastAsia="Times New Roman" w:hAnsi="Times New Roman" w:cs="Times New Roman"/>
          <w:sz w:val="24"/>
          <w:szCs w:val="24"/>
        </w:rPr>
      </w:pPr>
      <w:r w:rsidRPr="0065783A">
        <w:rPr>
          <w:rFonts w:ascii="Times New Roman" w:eastAsia="Times New Roman" w:hAnsi="Times New Roman" w:cs="Times New Roman"/>
          <w:b/>
          <w:bCs/>
          <w:sz w:val="24"/>
          <w:szCs w:val="24"/>
        </w:rPr>
        <w:t>Case Presentation:</w:t>
      </w:r>
      <w:r w:rsidRPr="0001469B">
        <w:rPr>
          <w:rFonts w:ascii="Times New Roman" w:eastAsia="Times New Roman" w:hAnsi="Times New Roman" w:cs="Times New Roman"/>
          <w:sz w:val="24"/>
          <w:szCs w:val="24"/>
        </w:rPr>
        <w:t xml:space="preserve"> We present a case of a 39-year-old</w:t>
      </w:r>
      <w:r w:rsidR="000429FF" w:rsidRPr="0065783A">
        <w:rPr>
          <w:rFonts w:ascii="Times New Roman" w:eastAsia="Times New Roman" w:hAnsi="Times New Roman" w:cs="Times New Roman"/>
          <w:sz w:val="24"/>
          <w:szCs w:val="24"/>
        </w:rPr>
        <w:t xml:space="preserve"> female who arrived with rapidly progressive </w:t>
      </w:r>
      <w:r w:rsidRPr="0001469B">
        <w:rPr>
          <w:rFonts w:ascii="Times New Roman" w:eastAsia="Times New Roman" w:hAnsi="Times New Roman" w:cs="Times New Roman"/>
          <w:sz w:val="24"/>
          <w:szCs w:val="24"/>
        </w:rPr>
        <w:t>blurring</w:t>
      </w:r>
      <w:r w:rsidR="000429FF" w:rsidRPr="0065783A">
        <w:rPr>
          <w:rFonts w:ascii="Times New Roman" w:eastAsia="Times New Roman" w:hAnsi="Times New Roman" w:cs="Times New Roman"/>
          <w:sz w:val="24"/>
          <w:szCs w:val="24"/>
        </w:rPr>
        <w:t xml:space="preserve"> of vision </w:t>
      </w:r>
      <w:r w:rsidR="00352EF6" w:rsidRPr="0065783A">
        <w:rPr>
          <w:rFonts w:ascii="Times New Roman" w:eastAsia="Times New Roman" w:hAnsi="Times New Roman" w:cs="Times New Roman"/>
          <w:sz w:val="24"/>
          <w:szCs w:val="24"/>
        </w:rPr>
        <w:t xml:space="preserve">in left eye </w:t>
      </w:r>
      <w:r w:rsidR="000429FF" w:rsidRPr="0065783A">
        <w:rPr>
          <w:rFonts w:ascii="Times New Roman" w:eastAsia="Times New Roman" w:hAnsi="Times New Roman" w:cs="Times New Roman"/>
          <w:sz w:val="24"/>
          <w:szCs w:val="24"/>
        </w:rPr>
        <w:t>for 10 days</w:t>
      </w:r>
      <w:r w:rsidRPr="0001469B">
        <w:rPr>
          <w:rFonts w:ascii="Times New Roman" w:eastAsia="Times New Roman" w:hAnsi="Times New Roman" w:cs="Times New Roman"/>
          <w:sz w:val="24"/>
          <w:szCs w:val="24"/>
        </w:rPr>
        <w:t>. Clinical examination revealed right temporal field defect and partial ptosis. Endocrine evaluation demonstrated</w:t>
      </w:r>
      <w:r w:rsidR="00352EF6" w:rsidRPr="0065783A">
        <w:rPr>
          <w:rFonts w:ascii="Times New Roman" w:eastAsia="Times New Roman" w:hAnsi="Times New Roman" w:cs="Times New Roman"/>
          <w:sz w:val="24"/>
          <w:szCs w:val="24"/>
        </w:rPr>
        <w:t xml:space="preserve"> hypothyroidism</w:t>
      </w:r>
      <w:r w:rsidRPr="0001469B">
        <w:rPr>
          <w:rFonts w:ascii="Times New Roman" w:eastAsia="Times New Roman" w:hAnsi="Times New Roman" w:cs="Times New Roman"/>
          <w:sz w:val="24"/>
          <w:szCs w:val="24"/>
        </w:rPr>
        <w:t xml:space="preserve">. MRI </w:t>
      </w:r>
      <w:r w:rsidR="00352EF6" w:rsidRPr="0065783A">
        <w:rPr>
          <w:rFonts w:ascii="Times New Roman" w:eastAsia="Times New Roman" w:hAnsi="Times New Roman" w:cs="Times New Roman"/>
          <w:sz w:val="24"/>
          <w:szCs w:val="24"/>
        </w:rPr>
        <w:t xml:space="preserve">Brain </w:t>
      </w:r>
      <w:r w:rsidRPr="0001469B">
        <w:rPr>
          <w:rFonts w:ascii="Times New Roman" w:eastAsia="Times New Roman" w:hAnsi="Times New Roman" w:cs="Times New Roman"/>
          <w:sz w:val="24"/>
          <w:szCs w:val="24"/>
        </w:rPr>
        <w:t xml:space="preserve">showed a </w:t>
      </w:r>
      <w:r w:rsidR="00352EF6" w:rsidRPr="0065783A">
        <w:rPr>
          <w:rFonts w:ascii="Times New Roman" w:eastAsia="Times New Roman" w:hAnsi="Times New Roman" w:cs="Times New Roman"/>
          <w:sz w:val="24"/>
          <w:szCs w:val="24"/>
        </w:rPr>
        <w:t xml:space="preserve">large </w:t>
      </w:r>
      <w:r w:rsidRPr="0001469B">
        <w:rPr>
          <w:rFonts w:ascii="Times New Roman" w:eastAsia="Times New Roman" w:hAnsi="Times New Roman" w:cs="Times New Roman"/>
          <w:sz w:val="24"/>
          <w:szCs w:val="24"/>
        </w:rPr>
        <w:t xml:space="preserve">heterogenous </w:t>
      </w:r>
      <w:r w:rsidR="00352EF6" w:rsidRPr="0065783A">
        <w:rPr>
          <w:rFonts w:ascii="Times New Roman" w:eastAsia="Times New Roman" w:hAnsi="Times New Roman" w:cs="Times New Roman"/>
          <w:sz w:val="24"/>
          <w:szCs w:val="24"/>
        </w:rPr>
        <w:t>cystic mass lesion of size 3*2.7*2.2cm seen in sella with suprasella extension and mass effect on chiasma on left side-</w:t>
      </w:r>
      <w:r w:rsidRPr="0001469B">
        <w:rPr>
          <w:rFonts w:ascii="Times New Roman" w:eastAsia="Times New Roman" w:hAnsi="Times New Roman" w:cs="Times New Roman"/>
          <w:sz w:val="24"/>
          <w:szCs w:val="24"/>
        </w:rPr>
        <w:t>pituitary macroadenoma</w:t>
      </w:r>
      <w:r w:rsidR="00352EF6" w:rsidRPr="0065783A">
        <w:rPr>
          <w:rFonts w:ascii="Times New Roman" w:eastAsia="Times New Roman" w:hAnsi="Times New Roman" w:cs="Times New Roman"/>
          <w:sz w:val="24"/>
          <w:szCs w:val="24"/>
        </w:rPr>
        <w:t xml:space="preserve"> / ?pituitary apoplexy</w:t>
      </w:r>
      <w:r w:rsidRPr="0001469B">
        <w:rPr>
          <w:rFonts w:ascii="Times New Roman" w:eastAsia="Times New Roman" w:hAnsi="Times New Roman" w:cs="Times New Roman"/>
          <w:sz w:val="24"/>
          <w:szCs w:val="24"/>
        </w:rPr>
        <w:t>.</w:t>
      </w:r>
      <w:r w:rsidR="00352EF6" w:rsidRPr="0065783A">
        <w:rPr>
          <w:rFonts w:ascii="Times New Roman" w:eastAsia="Times New Roman" w:hAnsi="Times New Roman" w:cs="Times New Roman"/>
          <w:sz w:val="24"/>
          <w:szCs w:val="24"/>
        </w:rPr>
        <w:t>CT PNS showed evidence of well defined iso to hypodense lesion measuring 2.3*2.6*3.3cm in the sella region with peripheral calcification- suggestive of pituitary macroadenoma with mass effect.</w:t>
      </w:r>
      <w:r w:rsidRPr="0001469B">
        <w:rPr>
          <w:rFonts w:ascii="Times New Roman" w:eastAsia="Times New Roman" w:hAnsi="Times New Roman" w:cs="Times New Roman"/>
          <w:sz w:val="24"/>
          <w:szCs w:val="24"/>
        </w:rPr>
        <w:t xml:space="preserve"> After stabilization with high-dose intravenous corticosteroids, the patient underwent endoscopic endonasal transsphenoidal </w:t>
      </w:r>
      <w:r w:rsidR="00352EF6" w:rsidRPr="0065783A">
        <w:rPr>
          <w:rFonts w:ascii="Times New Roman" w:eastAsia="Times New Roman" w:hAnsi="Times New Roman" w:cs="Times New Roman"/>
          <w:sz w:val="24"/>
          <w:szCs w:val="24"/>
        </w:rPr>
        <w:t xml:space="preserve">hypophysectomy </w:t>
      </w:r>
      <w:r w:rsidRPr="0001469B">
        <w:rPr>
          <w:rFonts w:ascii="Times New Roman" w:eastAsia="Times New Roman" w:hAnsi="Times New Roman" w:cs="Times New Roman"/>
          <w:sz w:val="24"/>
          <w:szCs w:val="24"/>
        </w:rPr>
        <w:t>performed by the ENT skull-base team. The procedure achieved effective evacuation of hemorrhagic components and decompression of the optic apparatus. Postoperatively, the patient exhibited marked visual recovery, complete pain resolution, and stable hormonal status with appropriate replacement therapy. Follow-up imaging confirmed adequate decompression and no residual mass effect.</w:t>
      </w:r>
    </w:p>
    <w:p w:rsidR="0001469B" w:rsidRPr="0001469B" w:rsidRDefault="0001469B" w:rsidP="0001469B">
      <w:pPr>
        <w:spacing w:before="100" w:beforeAutospacing="1" w:after="100" w:afterAutospacing="1" w:line="240" w:lineRule="auto"/>
        <w:rPr>
          <w:rFonts w:ascii="Times New Roman" w:eastAsia="Times New Roman" w:hAnsi="Times New Roman" w:cs="Times New Roman"/>
          <w:sz w:val="24"/>
          <w:szCs w:val="24"/>
        </w:rPr>
      </w:pPr>
      <w:r w:rsidRPr="0065783A">
        <w:rPr>
          <w:rFonts w:ascii="Times New Roman" w:eastAsia="Times New Roman" w:hAnsi="Times New Roman" w:cs="Times New Roman"/>
          <w:b/>
          <w:bCs/>
          <w:sz w:val="24"/>
          <w:szCs w:val="24"/>
        </w:rPr>
        <w:t>Conclusion:</w:t>
      </w:r>
      <w:r w:rsidRPr="0001469B">
        <w:rPr>
          <w:rFonts w:ascii="Times New Roman" w:eastAsia="Times New Roman" w:hAnsi="Times New Roman" w:cs="Times New Roman"/>
          <w:sz w:val="24"/>
          <w:szCs w:val="24"/>
        </w:rPr>
        <w:t xml:space="preserve"> This case underscores the crucial role of ENT surgeons in the multidisciplinary management of pituitary apoplexy, particularly through minimally invasive endoscopic skull-base approaches. Early recognition, prompt steroid administration, and timely surgical intervention significantly improve visual and endocrine outcomes. The case reinforces the evolving contribution of endoscopic transsphenoidal surgery in</w:t>
      </w:r>
      <w:r w:rsidR="0065783A">
        <w:rPr>
          <w:rFonts w:ascii="Times New Roman" w:eastAsia="Times New Roman" w:hAnsi="Times New Roman" w:cs="Times New Roman"/>
          <w:sz w:val="24"/>
          <w:szCs w:val="24"/>
        </w:rPr>
        <w:t xml:space="preserve"> emergency pituitary pathology.</w:t>
      </w:r>
    </w:p>
    <w:p w:rsidR="0001469B" w:rsidRPr="0001469B" w:rsidRDefault="0001469B" w:rsidP="0001469B">
      <w:pPr>
        <w:spacing w:after="0" w:line="240" w:lineRule="auto"/>
        <w:rPr>
          <w:rFonts w:ascii="Times New Roman" w:eastAsia="Times New Roman" w:hAnsi="Times New Roman" w:cs="Times New Roman"/>
          <w:sz w:val="24"/>
          <w:szCs w:val="24"/>
        </w:rPr>
      </w:pPr>
    </w:p>
    <w:p w:rsidR="001A7544" w:rsidRPr="0065783A" w:rsidRDefault="001A7544">
      <w:pPr>
        <w:rPr>
          <w:rFonts w:ascii="Times New Roman" w:hAnsi="Times New Roman" w:cs="Times New Roman"/>
          <w:sz w:val="24"/>
          <w:szCs w:val="24"/>
        </w:rPr>
      </w:pPr>
    </w:p>
    <w:sectPr w:rsidR="001A7544" w:rsidRPr="0065783A" w:rsidSect="001A754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20"/>
  <w:characterSpacingControl w:val="doNotCompress"/>
  <w:compat/>
  <w:rsids>
    <w:rsidRoot w:val="0001469B"/>
    <w:rsid w:val="0001469B"/>
    <w:rsid w:val="000429FF"/>
    <w:rsid w:val="001A7544"/>
    <w:rsid w:val="00352EF6"/>
    <w:rsid w:val="0065783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75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469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469B"/>
    <w:rPr>
      <w:b/>
      <w:bCs/>
    </w:rPr>
  </w:style>
</w:styles>
</file>

<file path=word/webSettings.xml><?xml version="1.0" encoding="utf-8"?>
<w:webSettings xmlns:r="http://schemas.openxmlformats.org/officeDocument/2006/relationships" xmlns:w="http://schemas.openxmlformats.org/wordprocessingml/2006/main">
  <w:divs>
    <w:div w:id="686911230">
      <w:bodyDiv w:val="1"/>
      <w:marLeft w:val="0"/>
      <w:marRight w:val="0"/>
      <w:marTop w:val="0"/>
      <w:marBottom w:val="0"/>
      <w:divBdr>
        <w:top w:val="none" w:sz="0" w:space="0" w:color="auto"/>
        <w:left w:val="none" w:sz="0" w:space="0" w:color="auto"/>
        <w:bottom w:val="none" w:sz="0" w:space="0" w:color="auto"/>
        <w:right w:val="none" w:sz="0" w:space="0" w:color="auto"/>
      </w:divBdr>
    </w:div>
    <w:div w:id="910851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2025-11-13T13:20:00Z</dcterms:created>
  <dcterms:modified xsi:type="dcterms:W3CDTF">2025-11-13T14:03:00Z</dcterms:modified>
</cp:coreProperties>
</file>