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Abstract</w:t>
      </w:r>
    </w:p>
    <w:p>
      <w:r>
        <w:br/>
        <w:t>Topic: Chronic Rhinosinusitis with Nasal Polyposis – Immunologic Insights and EPOS 2020 Guidelines</w:t>
        <w:br/>
        <w:br/>
        <w:t>Aim:</w:t>
        <w:br/>
        <w:t>To review the current understanding of the immunopathogenesis of chronic rhinosinusitis with nasal polyposis (CRSwNP) and analyze the clinical implications of the EPOS 2020 guidelines in diagnosis and management.</w:t>
        <w:br/>
        <w:br/>
        <w:t>Objectives:</w:t>
        <w:br/>
        <w:t>1. To describe the immunologic mechanisms underlying CRSwNP with emphasis on type 2 inflammation.</w:t>
        <w:br/>
        <w:t>2. To outline the diagnostic criteria and classification according to EPOS 2020.</w:t>
        <w:br/>
        <w:t>3. To evaluate updated recommendations for medical and surgical management.</w:t>
        <w:br/>
        <w:br/>
        <w:t>Methods:</w:t>
        <w:br/>
        <w:t>A comprehensive review of recent literature and the EPOS 2020 position paper was performed. Studies focusing on cytokine profiles, eosinophilic inflammation, microbiome influence, and treatment outcomes were analyzed. Management strategies were compared between traditional steroid-based therapy and newer targeted biologic approaches.</w:t>
        <w:br/>
        <w:br/>
        <w:t>Results:</w:t>
        <w:br/>
        <w:t>CRSwNP is predominantly driven by type 2 immune response characterized by elevated IL-4, IL-5, IL-13, and eosinophilic infiltration. EPOS 2020 emphasizes a multidisciplinary, endotype-driven approach integrating clinical phenotype, inflammatory biomarkers, and radiologic grading (Lund-Mackay score). Topical corticosteroids remain first-line therapy, while short systemic courses are reserved for exacerbations. Endoscopic sinus surgery (ESS) is recommended for medically refractory cases, followed by postoperative intranasal therapy. Biologic agents such as dupilumab, omalizumab, and mepolizumab are advised for recurrent, severe, eosinophilic disease.</w:t>
        <w:br/>
        <w:br/>
        <w:t>Conclusion:</w:t>
        <w:br/>
        <w:t>EPOS 2020 has redefined CRSwNP as a chronic, type 2–mediated inflammatory disease requiring personalized, multidisciplinary care. Integration of immunologic profiling, optimized medical therapy, and biologic treatment has improved long-term outcomes and reduced recurrence rates. Continued research into immunomodulation and precision medicine is essential for future management.</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