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D5F" w:rsidRPr="00C82D23" w:rsidRDefault="00A00D5F">
      <w:pPr>
        <w:rPr>
          <w:b/>
          <w:sz w:val="36"/>
          <w:szCs w:val="36"/>
          <w:u w:val="single"/>
          <w:lang w:val="en-US"/>
        </w:rPr>
      </w:pPr>
      <w:r w:rsidRPr="00A00D5F">
        <w:rPr>
          <w:sz w:val="36"/>
          <w:szCs w:val="36"/>
          <w:lang w:val="en-US"/>
        </w:rPr>
        <w:t xml:space="preserve">                              </w:t>
      </w:r>
      <w:r>
        <w:rPr>
          <w:sz w:val="36"/>
          <w:szCs w:val="36"/>
          <w:lang w:val="en-US"/>
        </w:rPr>
        <w:t xml:space="preserve">              </w:t>
      </w:r>
      <w:r w:rsidRPr="00C82D23">
        <w:rPr>
          <w:b/>
          <w:sz w:val="36"/>
          <w:szCs w:val="36"/>
          <w:u w:val="single"/>
          <w:lang w:val="en-US"/>
        </w:rPr>
        <w:t>ABSTRACT</w:t>
      </w:r>
    </w:p>
    <w:p w:rsidR="00A00D5F" w:rsidRPr="00C82D23" w:rsidRDefault="00A00D5F">
      <w:pPr>
        <w:rPr>
          <w:b/>
          <w:sz w:val="36"/>
          <w:szCs w:val="36"/>
          <w:lang w:val="en-US"/>
        </w:rPr>
      </w:pPr>
      <w:r w:rsidRPr="00C82D23">
        <w:rPr>
          <w:b/>
          <w:sz w:val="36"/>
          <w:szCs w:val="36"/>
          <w:lang w:val="en-US"/>
        </w:rPr>
        <w:t xml:space="preserve">TITLE- </w:t>
      </w:r>
    </w:p>
    <w:p w:rsidR="00C82D23" w:rsidRPr="00C82D23" w:rsidRDefault="00C82D23" w:rsidP="00C82D23">
      <w:pPr>
        <w:pStyle w:val="NoSpacing"/>
        <w:rPr>
          <w:sz w:val="36"/>
          <w:szCs w:val="36"/>
          <w:lang w:eastAsia="en-IN"/>
        </w:rPr>
      </w:pPr>
      <w:r w:rsidRPr="00C82D23">
        <w:rPr>
          <w:sz w:val="36"/>
          <w:szCs w:val="36"/>
          <w:lang w:eastAsia="en-IN"/>
        </w:rPr>
        <w:t>Clinical Predictors of Symptom Improvement Following Eustachian Tube Balloon Dilation</w:t>
      </w:r>
    </w:p>
    <w:p w:rsidR="00A00D5F" w:rsidRPr="00C82D23" w:rsidRDefault="00A00D5F">
      <w:pPr>
        <w:rPr>
          <w:sz w:val="36"/>
          <w:szCs w:val="36"/>
          <w:lang w:val="en-US"/>
        </w:rPr>
      </w:pPr>
    </w:p>
    <w:p w:rsidR="00A00D5F" w:rsidRDefault="00A00D5F">
      <w:pPr>
        <w:rPr>
          <w:sz w:val="36"/>
          <w:szCs w:val="36"/>
          <w:lang w:val="en-US"/>
        </w:rPr>
      </w:pPr>
      <w:r w:rsidRPr="00C82D23">
        <w:rPr>
          <w:b/>
          <w:sz w:val="36"/>
          <w:szCs w:val="36"/>
          <w:lang w:val="en-US"/>
        </w:rPr>
        <w:t>AUTHOR NAME</w:t>
      </w:r>
      <w:r>
        <w:rPr>
          <w:sz w:val="36"/>
          <w:szCs w:val="36"/>
          <w:lang w:val="en-US"/>
        </w:rPr>
        <w:t xml:space="preserve"> -</w:t>
      </w:r>
      <w:proofErr w:type="spellStart"/>
      <w:r>
        <w:rPr>
          <w:sz w:val="36"/>
          <w:szCs w:val="36"/>
          <w:lang w:val="en-US"/>
        </w:rPr>
        <w:t>V.Revanth</w:t>
      </w:r>
      <w:proofErr w:type="spellEnd"/>
      <w:r>
        <w:rPr>
          <w:sz w:val="36"/>
          <w:szCs w:val="36"/>
          <w:lang w:val="en-US"/>
        </w:rPr>
        <w:t xml:space="preserve"> </w:t>
      </w:r>
      <w:r w:rsidR="00C82D23">
        <w:rPr>
          <w:sz w:val="36"/>
          <w:szCs w:val="36"/>
          <w:lang w:val="en-US"/>
        </w:rPr>
        <w:t>Manohar</w:t>
      </w:r>
    </w:p>
    <w:p w:rsidR="00C82D23" w:rsidRDefault="00C82D23">
      <w:pPr>
        <w:rPr>
          <w:sz w:val="36"/>
          <w:szCs w:val="36"/>
          <w:lang w:val="en-US"/>
        </w:rPr>
      </w:pPr>
    </w:p>
    <w:p w:rsidR="00C82D23" w:rsidRDefault="00C82D23">
      <w:pPr>
        <w:rPr>
          <w:rFonts w:ascii="Segoe UI" w:hAnsi="Segoe UI" w:cs="Segoe UI"/>
          <w:color w:val="212121"/>
          <w:shd w:val="clear" w:color="auto" w:fill="FFFFFF"/>
        </w:rPr>
      </w:pPr>
      <w:r w:rsidRPr="00C82D23">
        <w:rPr>
          <w:b/>
          <w:sz w:val="36"/>
          <w:szCs w:val="36"/>
          <w:lang w:val="en-US"/>
        </w:rPr>
        <w:t>AIM-</w:t>
      </w:r>
      <w:r>
        <w:rPr>
          <w:sz w:val="36"/>
          <w:szCs w:val="36"/>
          <w:lang w:val="en-US"/>
        </w:rPr>
        <w:t xml:space="preserve"> </w:t>
      </w:r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This study aims to identify clinical predictors of treatment response to Eustachian Tube Balloon Dilation (ETBD) as measured by changes in Eustachian Tube Dysfunction Questionnaire-7 (ETDQ-7) scores</w:t>
      </w:r>
      <w:r>
        <w:rPr>
          <w:rFonts w:ascii="Segoe UI" w:hAnsi="Segoe UI" w:cs="Segoe UI"/>
          <w:color w:val="212121"/>
          <w:shd w:val="clear" w:color="auto" w:fill="FFFFFF"/>
        </w:rPr>
        <w:t>.</w:t>
      </w:r>
    </w:p>
    <w:p w:rsidR="00C82D23" w:rsidRDefault="00C82D23">
      <w:pPr>
        <w:rPr>
          <w:rFonts w:ascii="Segoe UI" w:hAnsi="Segoe UI" w:cs="Segoe UI"/>
          <w:color w:val="212121"/>
          <w:shd w:val="clear" w:color="auto" w:fill="FFFFFF"/>
        </w:rPr>
      </w:pPr>
    </w:p>
    <w:p w:rsidR="00C82D23" w:rsidRDefault="00C82D23">
      <w:pPr>
        <w:rPr>
          <w:rFonts w:ascii="Segoe UI" w:hAnsi="Segoe UI" w:cs="Segoe UI"/>
          <w:color w:val="212121"/>
          <w:sz w:val="32"/>
          <w:szCs w:val="32"/>
          <w:shd w:val="clear" w:color="auto" w:fill="FFFFFF"/>
        </w:rPr>
      </w:pPr>
      <w:r w:rsidRPr="00C82D23">
        <w:rPr>
          <w:rFonts w:ascii="Segoe UI" w:hAnsi="Segoe UI" w:cs="Segoe UI"/>
          <w:b/>
          <w:color w:val="212121"/>
          <w:sz w:val="32"/>
          <w:szCs w:val="32"/>
          <w:shd w:val="clear" w:color="auto" w:fill="FFFFFF"/>
        </w:rPr>
        <w:t>METHODOLOGY</w:t>
      </w:r>
      <w:proofErr w:type="gramStart"/>
      <w:r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- </w:t>
      </w:r>
      <w:r>
        <w:rPr>
          <w:rStyle w:val="Strong"/>
          <w:rFonts w:ascii="Segoe UI" w:hAnsi="Segoe UI" w:cs="Segoe UI"/>
          <w:color w:val="212121"/>
          <w:shd w:val="clear" w:color="auto" w:fill="FFFFFF"/>
        </w:rPr>
        <w:t> </w:t>
      </w:r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One</w:t>
      </w:r>
      <w:proofErr w:type="gramEnd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hundred thirteen patients who underwent E</w:t>
      </w:r>
      <w:r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TBD at an institution from 2022 to 2025</w:t>
      </w:r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completed ETDQ-7 pre- and post-operatively. We conducted multivariable regression analyses with ETDQ-7 normalization (&lt;2.1 post-op), minimum clinically important difference (MCID) (&gt;0.5 pre-op - post-op), and quantitative improvement in ETDQ-7 score as outcome variables. Pre-operative ETDQ-7 score, tympanogram type, chronic otitis media, chronic </w:t>
      </w:r>
      <w:proofErr w:type="spellStart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rhinosinusitis</w:t>
      </w:r>
      <w:proofErr w:type="spellEnd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(CRS), inferior turbinate hypertrophy, deviated septum, allergic rhinitis, and </w:t>
      </w:r>
      <w:proofErr w:type="spellStart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rhinorrhea</w:t>
      </w:r>
      <w:proofErr w:type="spellEnd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were included as covariates. Models controlled for age, sex, ethnicity, prior ear or sinus surgery, and follow-up duration.</w:t>
      </w:r>
    </w:p>
    <w:p w:rsidR="00C82D23" w:rsidRDefault="00C82D23">
      <w:pPr>
        <w:rPr>
          <w:rFonts w:ascii="Segoe UI" w:hAnsi="Segoe UI" w:cs="Segoe UI"/>
          <w:color w:val="212121"/>
          <w:sz w:val="32"/>
          <w:szCs w:val="32"/>
          <w:shd w:val="clear" w:color="auto" w:fill="FFFFFF"/>
        </w:rPr>
      </w:pPr>
    </w:p>
    <w:p w:rsidR="00C82D23" w:rsidRDefault="00C82D23">
      <w:pPr>
        <w:rPr>
          <w:rFonts w:ascii="Segoe UI" w:hAnsi="Segoe UI" w:cs="Segoe UI"/>
          <w:color w:val="212121"/>
          <w:sz w:val="32"/>
          <w:szCs w:val="32"/>
          <w:shd w:val="clear" w:color="auto" w:fill="FFFFFF"/>
        </w:rPr>
      </w:pPr>
    </w:p>
    <w:p w:rsidR="00C82D23" w:rsidRDefault="00C82D23">
      <w:pPr>
        <w:rPr>
          <w:rFonts w:ascii="Segoe UI" w:hAnsi="Segoe UI" w:cs="Segoe UI"/>
          <w:color w:val="212121"/>
          <w:sz w:val="32"/>
          <w:szCs w:val="32"/>
          <w:shd w:val="clear" w:color="auto" w:fill="FFFFFF"/>
        </w:rPr>
      </w:pPr>
      <w:r w:rsidRPr="00C82D23">
        <w:rPr>
          <w:rFonts w:ascii="Segoe UI" w:hAnsi="Segoe UI" w:cs="Segoe UI"/>
          <w:b/>
          <w:color w:val="212121"/>
          <w:sz w:val="32"/>
          <w:szCs w:val="32"/>
          <w:shd w:val="clear" w:color="auto" w:fill="FFFFFF"/>
        </w:rPr>
        <w:lastRenderedPageBreak/>
        <w:t>RESULT</w:t>
      </w:r>
      <w:r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-</w:t>
      </w:r>
      <w:r>
        <w:rPr>
          <w:rStyle w:val="Strong"/>
          <w:rFonts w:ascii="Segoe UI" w:hAnsi="Segoe UI" w:cs="Segoe UI"/>
          <w:color w:val="212121"/>
          <w:shd w:val="clear" w:color="auto" w:fill="FFFFFF"/>
        </w:rPr>
        <w:t> </w:t>
      </w:r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The mean age was 49 years old. 51% were females, and all patients had pre-operative ETDQ-7 above 2.1. After a mean follow-up period of 13 months, 77% achieved MCID and 37% had normalized. Higher pre-operative ETDQ-7 score was associated with greater ETDQ-7 score improvement (</w:t>
      </w:r>
      <w:r w:rsidRPr="00C82D23">
        <w:rPr>
          <w:rFonts w:ascii="Segoe UI" w:hAnsi="Segoe UI" w:cs="Segoe UI"/>
          <w:i/>
          <w:iCs/>
          <w:color w:val="212121"/>
          <w:sz w:val="32"/>
          <w:szCs w:val="32"/>
          <w:shd w:val="clear" w:color="auto" w:fill="FFFFFF"/>
        </w:rPr>
        <w:t>B</w:t>
      </w:r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 = 0.60, 95% CI = [0.37, 0.83]) and greater odds of achieving MCID (</w:t>
      </w:r>
      <w:proofErr w:type="spellStart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aOR</w:t>
      </w:r>
      <w:proofErr w:type="spellEnd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= 1.65; 95% CI = [1.06, 2.59]). A history of CRS improved chances of achieving MCID (</w:t>
      </w:r>
      <w:proofErr w:type="spellStart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aOR</w:t>
      </w:r>
      <w:proofErr w:type="spellEnd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= 4.53; 95% CI = [1.11, 18.55]) and a history of chronic otitis media predicted increased odds of ETDQ-7 normalization (</w:t>
      </w:r>
      <w:proofErr w:type="spellStart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aOR</w:t>
      </w:r>
      <w:proofErr w:type="spellEnd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= 2.88; 95% CI = [1.09, 7.58]).</w:t>
      </w:r>
    </w:p>
    <w:p w:rsidR="00C82D23" w:rsidRDefault="00C82D23">
      <w:pPr>
        <w:rPr>
          <w:rFonts w:ascii="Segoe UI" w:hAnsi="Segoe UI" w:cs="Segoe UI"/>
          <w:color w:val="212121"/>
          <w:sz w:val="32"/>
          <w:szCs w:val="32"/>
          <w:shd w:val="clear" w:color="auto" w:fill="FFFFFF"/>
        </w:rPr>
      </w:pPr>
    </w:p>
    <w:p w:rsidR="00C82D23" w:rsidRPr="00C82D23" w:rsidRDefault="00C82D23">
      <w:pPr>
        <w:rPr>
          <w:sz w:val="32"/>
          <w:szCs w:val="32"/>
          <w:lang w:val="en-US"/>
        </w:rPr>
      </w:pPr>
      <w:r w:rsidRPr="00C82D23">
        <w:rPr>
          <w:rFonts w:ascii="Segoe UI" w:hAnsi="Segoe UI" w:cs="Segoe UI"/>
          <w:b/>
          <w:color w:val="212121"/>
          <w:sz w:val="32"/>
          <w:szCs w:val="32"/>
          <w:shd w:val="clear" w:color="auto" w:fill="FFFFFF"/>
        </w:rPr>
        <w:t>CONCLUSION</w:t>
      </w:r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-</w:t>
      </w:r>
      <w:r w:rsidRPr="00C82D23">
        <w:rPr>
          <w:rStyle w:val="Strong"/>
          <w:rFonts w:ascii="Segoe UI" w:hAnsi="Segoe UI" w:cs="Segoe UI"/>
          <w:color w:val="212121"/>
          <w:sz w:val="32"/>
          <w:szCs w:val="32"/>
          <w:shd w:val="clear" w:color="auto" w:fill="FFFFFF"/>
        </w:rPr>
        <w:t> </w:t>
      </w:r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Our findings suggest that ETBD was highly effective among patients with pre-operative ETDQ-7 above 2.1. Furthermore, higher pre-operative ETDQ-7 score, CRS, and chronic otitis media predicted more </w:t>
      </w:r>
      <w:proofErr w:type="spellStart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favorable</w:t>
      </w:r>
      <w:proofErr w:type="spellEnd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symptomatic benefit from ETBD. These factors may be important to consider when </w:t>
      </w:r>
      <w:proofErr w:type="spellStart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counseling</w:t>
      </w:r>
      <w:proofErr w:type="spellEnd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 xml:space="preserve"> potential candidates fo</w:t>
      </w:r>
      <w:bookmarkStart w:id="0" w:name="_GoBack"/>
      <w:bookmarkEnd w:id="0"/>
      <w:r w:rsidRPr="00C82D23">
        <w:rPr>
          <w:rFonts w:ascii="Segoe UI" w:hAnsi="Segoe UI" w:cs="Segoe UI"/>
          <w:color w:val="212121"/>
          <w:sz w:val="32"/>
          <w:szCs w:val="32"/>
          <w:shd w:val="clear" w:color="auto" w:fill="FFFFFF"/>
        </w:rPr>
        <w:t>r this procedure.</w:t>
      </w:r>
    </w:p>
    <w:sectPr w:rsidR="00C82D23" w:rsidRPr="00C82D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5F"/>
    <w:rsid w:val="00203E68"/>
    <w:rsid w:val="00467E37"/>
    <w:rsid w:val="00A00D5F"/>
    <w:rsid w:val="00C82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722FF"/>
  <w15:chartTrackingRefBased/>
  <w15:docId w15:val="{61544E83-2010-4C96-BA0E-9BFB22EA7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82D23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82D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28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2025-11-11T16:55:00Z</dcterms:created>
  <dcterms:modified xsi:type="dcterms:W3CDTF">2025-11-11T17:08:00Z</dcterms:modified>
</cp:coreProperties>
</file>