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Body"/>
        <w:rPr>
          <w:b w:val="1"/>
          <w:bCs w:val="1"/>
        </w:rPr>
      </w:pPr>
      <w:r>
        <w:rPr>
          <w:b w:val="1"/>
          <w:bCs w:val="1"/>
          <w:rtl w:val="0"/>
          <w:lang w:val="en-US"/>
        </w:rPr>
        <w:t>ENDOSCOPIC EXCISION OF JUVENILE NASOPHARYNGEAL ANGIOFIBROMA</w:t>
      </w:r>
    </w:p>
    <w:p>
      <w:pPr>
        <w:pStyle w:val="Body"/>
        <w:bidi w:val="0"/>
      </w:pPr>
    </w:p>
    <w:p>
      <w:pPr>
        <w:pStyle w:val="Body"/>
        <w:bidi w:val="0"/>
      </w:pPr>
      <w:r>
        <w:rPr>
          <w:rtl w:val="0"/>
        </w:rPr>
        <w:t>A 11 year old boy presented with a episode of profuse right sided epistaxis. on evaluation, it was diagnosed to be JNA with classical ptertgo maxillary fissure widening. This video show four handed approach for endoscopic excision of JNA</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