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Arial Unicode MS" w:hAnsi="Arial Unicode MS" w:hint="default"/>
          <w:b w:val="0"/>
          <w:bCs w:val="0"/>
          <w:sz w:val="32"/>
          <w:szCs w:val="32"/>
          <w:u w:color="000000"/>
          <w:rtl w:val="0"/>
          <w:lang w:val="ar-SA" w:bidi="ar-SA"/>
          <w14:textOutline w14:w="12700" w14:cap="flat">
            <w14:noFill/>
            <w14:miter w14:lim="400000"/>
          </w14:textOutline>
        </w:rPr>
        <w:t>”</w:t>
      </w:r>
      <w:r>
        <w:rPr>
          <w:b w:val="1"/>
          <w:bCs w:val="1"/>
          <w:sz w:val="32"/>
          <w:szCs w:val="3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EFFICACY OF BALLOON SINUPLASTY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z w:val="32"/>
          <w:szCs w:val="3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VERSUS ENDOSCOPIC SINUS SURGERY FOR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z w:val="32"/>
          <w:szCs w:val="3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CHRONIC RHINOSINUSITIS WITHOUT NASAL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z w:val="32"/>
          <w:szCs w:val="3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POLYPOSIS: A NON RANDOMIZED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z w:val="32"/>
          <w:szCs w:val="32"/>
          <w:u w:color="000000"/>
          <w:rtl w:val="0"/>
          <w:lang w:val="da-DK"/>
          <w14:textOutline w14:w="12700" w14:cap="flat">
            <w14:noFill/>
            <w14:miter w14:lim="400000"/>
          </w14:textOutline>
        </w:rPr>
        <w:t>CONTROLLED TRIAL</w:t>
      </w:r>
      <w:r>
        <w:rPr>
          <w:b w:val="1"/>
          <w:bCs w:val="1"/>
          <w:sz w:val="32"/>
          <w:szCs w:val="32"/>
          <w:u w:color="000000"/>
          <w:rtl w:val="1"/>
          <w:lang w:val="ar-SA" w:bidi="ar-SA"/>
          <w14:textOutline w14:w="12700" w14:cap="flat">
            <w14:noFill/>
            <w14:miter w14:lim="400000"/>
          </w14:textOutline>
        </w:rPr>
        <w:t>”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u w:color="000000"/>
          <w:rtl w:val="0"/>
          <w:lang w:val="ar-SA" w:bidi="ar-SA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u w:color="000000"/>
          <w:rtl w:val="0"/>
          <w:lang w:val="ar-SA" w:bidi="ar-SA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12121"/>
          <w:sz w:val="32"/>
          <w:szCs w:val="32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  <w:t>ABSTRACT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  <w:t>Background: Chronic rhinosinusitis without nasal polyposis (CRSsNP) significantly affects quality of life. This study aimed to compare the efficacy of Balloon Sinuplasty (BSP) and Endoscopic Sinus Surgery (ESS) in managing CRSsNP.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  <w:t>Methods: A non-randomized controlled trial was conducted including patients diagnosed with CRSsNP. Participants underwent either BSP or ESS based on clinical suitability. Demographic data, symptom severity (SNOT-22), radiological scores (Lund-Mackay), endoscopic findings (Lund-Kennedy), and postoperative complications were evaluated at baseline, 1, 3, and 6 months postoperatively.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  <w:t>Results: The BSP and ESS groups were demographically similar (mean age: 25.41 vs. 24.61 years; p = 0.684; gender distribution p = 0.522). Both groups showed significant improvement in SNOT-22 scores. BSP provided better early symptom relief at 1 month (p = 0.027), whereas ESS was more effective at 3 months (p &lt; 0.001), with comparable outcomes at 6 months (p = 0.914). Preoperative Lund-Mackay scores were higher in the ESS group (6.35 vs. 4.89; p = 0.001), indicating more extensive disease. Postoperative scores improved significantly in both groups, with BSP showing lower final scores (0.70 vs. 1.24; p = 0.001). Endoscopic scores improved in both groups, with BSP demonstrating superior early and sustained mucosal healing (p &lt; 0.001 and p = 0.009). Complications were fewer in BSP (21.74%) than ESS (32.61%), though not statistically significant (p = 0.349).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outline w:val="0"/>
          <w:color w:val="212121"/>
          <w:sz w:val="26"/>
          <w:szCs w:val="26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222222"/>
            </w14:solidFill>
          </w14:textFill>
        </w:rPr>
        <w:t>Conclusion: Both BSP and ESS are effective for CRSsNP. BSP offers faster recovery, fewer complications, and comparable long-term outcomes, making it a viable minimally invasive alternative, particularly in cases with less extensive disease.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