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288A7" w14:textId="710D7D71" w:rsidR="008D1AA7" w:rsidRPr="000E360B" w:rsidRDefault="000A5DB7" w:rsidP="00E65E77">
      <w:pPr>
        <w:pStyle w:val="ListParagraph"/>
        <w:numPr>
          <w:ilvl w:val="0"/>
          <w:numId w:val="3"/>
        </w:numPr>
        <w:spacing w:line="360" w:lineRule="auto"/>
        <w:rPr>
          <w:rFonts w:ascii="Times New Roman" w:hAnsi="Times New Roman" w:cs="Times New Roman"/>
          <w:sz w:val="24"/>
          <w:szCs w:val="24"/>
        </w:rPr>
      </w:pPr>
      <w:r w:rsidRPr="003A1255">
        <w:rPr>
          <w:rFonts w:ascii="Times New Roman" w:hAnsi="Times New Roman" w:cs="Times New Roman"/>
          <w:b/>
          <w:bCs/>
          <w:sz w:val="24"/>
          <w:szCs w:val="24"/>
        </w:rPr>
        <w:t>Title:</w:t>
      </w:r>
      <w:r w:rsidR="008533C7">
        <w:rPr>
          <w:rFonts w:ascii="Times New Roman" w:hAnsi="Times New Roman" w:cs="Times New Roman"/>
          <w:sz w:val="24"/>
          <w:szCs w:val="24"/>
        </w:rPr>
        <w:t xml:space="preserve"> </w:t>
      </w:r>
      <w:r w:rsidR="00633F1B">
        <w:rPr>
          <w:rFonts w:ascii="Times New Roman" w:hAnsi="Times New Roman" w:cs="Times New Roman"/>
          <w:sz w:val="24"/>
          <w:szCs w:val="24"/>
        </w:rPr>
        <w:t xml:space="preserve"> </w:t>
      </w:r>
      <w:r w:rsidR="008533C7" w:rsidRPr="008533C7">
        <w:rPr>
          <w:rFonts w:ascii="Times New Roman" w:hAnsi="Times New Roman" w:cs="Times New Roman"/>
          <w:sz w:val="24"/>
          <w:szCs w:val="24"/>
        </w:rPr>
        <w:t xml:space="preserve">Integrating Clinical, Radiological, and Histopathological Assessments in the Diagnosis of Unilateral Sinonasal Masses </w:t>
      </w:r>
      <w:r w:rsidR="00E65E77">
        <w:rPr>
          <w:rFonts w:ascii="Times New Roman" w:hAnsi="Times New Roman" w:cs="Times New Roman"/>
          <w:sz w:val="24"/>
          <w:szCs w:val="24"/>
        </w:rPr>
        <w:t xml:space="preserve">: </w:t>
      </w:r>
      <w:r w:rsidR="00633F1B" w:rsidRPr="008533C7">
        <w:rPr>
          <w:rFonts w:ascii="Times New Roman" w:hAnsi="Times New Roman" w:cs="Times New Roman"/>
          <w:sz w:val="24"/>
          <w:szCs w:val="24"/>
        </w:rPr>
        <w:t xml:space="preserve">A </w:t>
      </w:r>
      <w:r w:rsidR="003A629D">
        <w:rPr>
          <w:rFonts w:ascii="Times New Roman" w:hAnsi="Times New Roman" w:cs="Times New Roman"/>
          <w:sz w:val="24"/>
          <w:szCs w:val="24"/>
        </w:rPr>
        <w:t xml:space="preserve">Retrospective </w:t>
      </w:r>
      <w:r w:rsidR="00633F1B" w:rsidRPr="008533C7">
        <w:rPr>
          <w:rFonts w:ascii="Times New Roman" w:hAnsi="Times New Roman" w:cs="Times New Roman"/>
          <w:sz w:val="24"/>
          <w:szCs w:val="24"/>
        </w:rPr>
        <w:t>study</w:t>
      </w:r>
    </w:p>
    <w:p w14:paraId="7387C7AA" w14:textId="3C52D914" w:rsidR="008D1AA7" w:rsidRPr="000E360B" w:rsidRDefault="000A5DB7" w:rsidP="00E65E77">
      <w:pPr>
        <w:pStyle w:val="ListParagraph"/>
        <w:numPr>
          <w:ilvl w:val="0"/>
          <w:numId w:val="3"/>
        </w:numPr>
        <w:spacing w:line="360" w:lineRule="auto"/>
        <w:rPr>
          <w:rFonts w:ascii="Times New Roman" w:hAnsi="Times New Roman" w:cs="Times New Roman"/>
          <w:sz w:val="24"/>
          <w:szCs w:val="24"/>
        </w:rPr>
      </w:pPr>
      <w:r w:rsidRPr="003A1255">
        <w:rPr>
          <w:rFonts w:ascii="Times New Roman" w:hAnsi="Times New Roman" w:cs="Times New Roman"/>
          <w:b/>
          <w:bCs/>
          <w:sz w:val="24"/>
          <w:szCs w:val="24"/>
        </w:rPr>
        <w:t>Author information:</w:t>
      </w:r>
      <w:r w:rsidRPr="00AC03EA">
        <w:rPr>
          <w:rFonts w:ascii="Times New Roman" w:hAnsi="Times New Roman" w:cs="Times New Roman"/>
          <w:sz w:val="24"/>
          <w:szCs w:val="24"/>
        </w:rPr>
        <w:t xml:space="preserve"> Dr Prasanth L</w:t>
      </w:r>
    </w:p>
    <w:p w14:paraId="73A5E887" w14:textId="1B794EC3" w:rsidR="008D1AA7" w:rsidRDefault="000A5DB7" w:rsidP="00E65E77">
      <w:pPr>
        <w:pStyle w:val="ListParagraph"/>
        <w:numPr>
          <w:ilvl w:val="0"/>
          <w:numId w:val="3"/>
        </w:numPr>
        <w:spacing w:line="360" w:lineRule="auto"/>
        <w:rPr>
          <w:rFonts w:ascii="Times New Roman" w:hAnsi="Times New Roman" w:cs="Times New Roman"/>
          <w:sz w:val="24"/>
          <w:szCs w:val="24"/>
        </w:rPr>
      </w:pPr>
      <w:r w:rsidRPr="003A1255">
        <w:rPr>
          <w:rFonts w:ascii="Times New Roman" w:hAnsi="Times New Roman" w:cs="Times New Roman"/>
          <w:b/>
          <w:bCs/>
          <w:sz w:val="24"/>
          <w:szCs w:val="24"/>
        </w:rPr>
        <w:t>Institutional Affiliation / Department:</w:t>
      </w:r>
      <w:r w:rsidRPr="00AC03EA">
        <w:rPr>
          <w:rFonts w:ascii="Times New Roman" w:hAnsi="Times New Roman" w:cs="Times New Roman"/>
          <w:sz w:val="24"/>
          <w:szCs w:val="24"/>
        </w:rPr>
        <w:t xml:space="preserve"> Department of ENT &amp; HNS</w:t>
      </w:r>
      <w:r w:rsidR="00EB046C">
        <w:rPr>
          <w:rFonts w:ascii="Times New Roman" w:hAnsi="Times New Roman" w:cs="Times New Roman"/>
          <w:sz w:val="24"/>
          <w:szCs w:val="24"/>
        </w:rPr>
        <w:t xml:space="preserve">, </w:t>
      </w:r>
      <w:r w:rsidRPr="00AC03EA">
        <w:rPr>
          <w:rFonts w:ascii="Times New Roman" w:hAnsi="Times New Roman" w:cs="Times New Roman"/>
          <w:sz w:val="24"/>
          <w:szCs w:val="24"/>
        </w:rPr>
        <w:t>Command Hospital (Eastern Command)</w:t>
      </w:r>
    </w:p>
    <w:p w14:paraId="3EC9A399" w14:textId="77777777" w:rsidR="00E65E77" w:rsidRDefault="00E65E77" w:rsidP="00E65E77">
      <w:pPr>
        <w:pStyle w:val="NormalWeb"/>
        <w:numPr>
          <w:ilvl w:val="0"/>
          <w:numId w:val="3"/>
        </w:numPr>
        <w:spacing w:line="360" w:lineRule="auto"/>
      </w:pPr>
      <w:r>
        <w:rPr>
          <w:rStyle w:val="Strong"/>
          <w:rFonts w:eastAsiaTheme="majorEastAsia"/>
        </w:rPr>
        <w:t>Aim:</w:t>
      </w:r>
      <w:r>
        <w:br/>
        <w:t>Unilateral sinonasal masses include a wide spectrum of benign and malignant lesions with overlapping features. This study aimed to assess the diagnostic accuracy of integrating clinical, radiological, histopathological, and immunohistochemical (IHC) assessments in their evaluation and management.</w:t>
      </w:r>
    </w:p>
    <w:p w14:paraId="5895F25B" w14:textId="0C2C2D5D" w:rsidR="00E65E77" w:rsidRDefault="00E65E77" w:rsidP="00E65E77">
      <w:pPr>
        <w:pStyle w:val="NormalWeb"/>
        <w:numPr>
          <w:ilvl w:val="0"/>
          <w:numId w:val="3"/>
        </w:numPr>
        <w:spacing w:line="360" w:lineRule="auto"/>
      </w:pPr>
      <w:r>
        <w:rPr>
          <w:rStyle w:val="Strong"/>
          <w:rFonts w:eastAsiaTheme="majorEastAsia"/>
        </w:rPr>
        <w:t>Methodology:</w:t>
      </w:r>
      <w:r>
        <w:br/>
        <w:t xml:space="preserve">A retrospective review was conducted on </w:t>
      </w:r>
      <w:r>
        <w:rPr>
          <w:rStyle w:val="Strong"/>
          <w:rFonts w:eastAsiaTheme="majorEastAsia"/>
        </w:rPr>
        <w:t>84 patients</w:t>
      </w:r>
      <w:r>
        <w:t xml:space="preserve"> with unilateral sinonasal masses between </w:t>
      </w:r>
      <w:r>
        <w:rPr>
          <w:rStyle w:val="Strong"/>
          <w:rFonts w:eastAsiaTheme="majorEastAsia"/>
        </w:rPr>
        <w:t>January 2022 and June 2025</w:t>
      </w:r>
      <w:r>
        <w:t xml:space="preserve"> at a tertiary care center. Demographics, clinical presentations, and nasal endoscopic findings were collected. CT and MRI were analysed for site, extent, and bony involvement. Provisional clinico-radiological diagnoses were compared with histopathology from biopsy or surgical specimens, considered the gold standard. IHC was performed in selected malignant or diagnostically challenging cases to confirm lineage and subtype tumors.</w:t>
      </w:r>
    </w:p>
    <w:p w14:paraId="0B7F7BBB" w14:textId="4CD4AD85" w:rsidR="00E65E77" w:rsidRDefault="00E65E77" w:rsidP="00E65E77">
      <w:pPr>
        <w:pStyle w:val="NormalWeb"/>
        <w:numPr>
          <w:ilvl w:val="0"/>
          <w:numId w:val="3"/>
        </w:numPr>
        <w:spacing w:line="360" w:lineRule="auto"/>
      </w:pPr>
      <w:r>
        <w:rPr>
          <w:rStyle w:val="Strong"/>
          <w:rFonts w:eastAsiaTheme="majorEastAsia"/>
        </w:rPr>
        <w:t>Results:</w:t>
      </w:r>
      <w:r>
        <w:br/>
        <w:t>Of 84 patients (52 males, 32 females; mean age 42 years), nasal obstruction (82%) was the commonest presentation, followed by epistaxis (35%) and facial swelling (22%</w:t>
      </w:r>
      <w:proofErr w:type="gramStart"/>
      <w:r>
        <w:t>).</w:t>
      </w:r>
      <w:r w:rsidRPr="000F782B">
        <w:t>Clinico</w:t>
      </w:r>
      <w:proofErr w:type="gramEnd"/>
      <w:r w:rsidRPr="000F782B">
        <w:t xml:space="preserve">-radiological impressions correlated with histopathology in </w:t>
      </w:r>
      <w:r w:rsidR="001E4E68" w:rsidRPr="000F782B">
        <w:rPr>
          <w:rStyle w:val="Strong"/>
          <w:rFonts w:eastAsiaTheme="majorEastAsia"/>
        </w:rPr>
        <w:t>8</w:t>
      </w:r>
      <w:r w:rsidRPr="000F782B">
        <w:rPr>
          <w:rStyle w:val="Strong"/>
          <w:rFonts w:eastAsiaTheme="majorEastAsia"/>
        </w:rPr>
        <w:t>6%</w:t>
      </w:r>
      <w:r w:rsidRPr="000F782B">
        <w:t xml:space="preserve">. </w:t>
      </w:r>
      <w:r>
        <w:t>Inflammatory polyps (41%) and fungal sinusitis (18%) were the most common benign pathologies, while squamous cell carcinoma (21%) was the predominant malignancy. IHC proved vital in differentiating poorly differentiated carcinomas, lymphomas, and olfactory neuroblastomas, ensuring accurate diagnosis and guiding therapy.</w:t>
      </w:r>
    </w:p>
    <w:p w14:paraId="34BA7346" w14:textId="77777777" w:rsidR="00E65E77" w:rsidRDefault="00E65E77" w:rsidP="00E65E77">
      <w:pPr>
        <w:pStyle w:val="NormalWeb"/>
        <w:numPr>
          <w:ilvl w:val="0"/>
          <w:numId w:val="3"/>
        </w:numPr>
        <w:spacing w:line="360" w:lineRule="auto"/>
      </w:pPr>
      <w:r>
        <w:rPr>
          <w:rStyle w:val="Strong"/>
          <w:rFonts w:eastAsiaTheme="majorEastAsia"/>
        </w:rPr>
        <w:t>Conclusion:</w:t>
      </w:r>
      <w:r>
        <w:br/>
        <w:t>Histopathology remains central in diagnosing sinonasal masses, while IHC adds precision in challenging cases. An integrated clinical, radiological, histopathological, and IHC approach improves diagnostic accuracy and optimizes management.</w:t>
      </w:r>
    </w:p>
    <w:p w14:paraId="6FE52310" w14:textId="77777777" w:rsidR="00E65E77" w:rsidRDefault="00E65E77" w:rsidP="00E65E77">
      <w:pPr>
        <w:pStyle w:val="NormalWeb"/>
        <w:numPr>
          <w:ilvl w:val="0"/>
          <w:numId w:val="3"/>
        </w:numPr>
        <w:spacing w:line="360" w:lineRule="auto"/>
      </w:pPr>
      <w:r>
        <w:rPr>
          <w:rStyle w:val="Strong"/>
          <w:rFonts w:eastAsiaTheme="majorEastAsia"/>
        </w:rPr>
        <w:t>Word count: 200</w:t>
      </w:r>
    </w:p>
    <w:p w14:paraId="553958CF" w14:textId="77777777" w:rsidR="00A42B11" w:rsidRPr="00FA186F" w:rsidRDefault="00A42B11" w:rsidP="000E360B">
      <w:pPr>
        <w:spacing w:line="480" w:lineRule="auto"/>
        <w:rPr>
          <w:rFonts w:ascii="Times New Roman" w:hAnsi="Times New Roman" w:cs="Times New Roman"/>
          <w:b/>
          <w:bCs/>
          <w:sz w:val="24"/>
          <w:szCs w:val="24"/>
        </w:rPr>
      </w:pPr>
    </w:p>
    <w:p w14:paraId="6848B2D5" w14:textId="69D0A8F6" w:rsidR="00FA186F" w:rsidRPr="00FA186F" w:rsidRDefault="00FA186F" w:rsidP="000E360B">
      <w:pPr>
        <w:pStyle w:val="ListParagraph"/>
        <w:numPr>
          <w:ilvl w:val="0"/>
          <w:numId w:val="3"/>
        </w:num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Declaration:</w:t>
      </w:r>
      <w:r w:rsidRPr="00FA186F">
        <w:rPr>
          <w:rFonts w:ascii="inherit" w:eastAsia="Times New Roman" w:hAnsi="inherit" w:cs="Times New Roman"/>
          <w:color w:val="000000"/>
          <w:spacing w:val="8"/>
          <w:kern w:val="0"/>
          <w:sz w:val="26"/>
          <w:szCs w:val="26"/>
          <w:lang w:eastAsia="en-IN"/>
          <w14:ligatures w14:val="none"/>
        </w:rPr>
        <w:t xml:space="preserve"> </w:t>
      </w:r>
    </w:p>
    <w:p w14:paraId="685AE2D0" w14:textId="178B7631" w:rsidR="00FA186F" w:rsidRPr="00FA186F" w:rsidRDefault="00FA186F" w:rsidP="000E360B">
      <w:pPr>
        <w:pStyle w:val="ListParagraph"/>
        <w:numPr>
          <w:ilvl w:val="0"/>
          <w:numId w:val="5"/>
        </w:numPr>
        <w:spacing w:line="480" w:lineRule="auto"/>
        <w:rPr>
          <w:rFonts w:ascii="Times New Roman" w:hAnsi="Times New Roman" w:cs="Times New Roman"/>
          <w:sz w:val="24"/>
          <w:szCs w:val="24"/>
        </w:rPr>
      </w:pPr>
      <w:r w:rsidRPr="00FA186F">
        <w:rPr>
          <w:rFonts w:ascii="Times New Roman" w:hAnsi="Times New Roman" w:cs="Times New Roman"/>
          <w:sz w:val="24"/>
          <w:szCs w:val="24"/>
        </w:rPr>
        <w:t>I previewed this abstract / case report and that all information is correct. I accept that the content of this abstract / case report cannot be modified or corrected after final submission and I am aware that it will be published as submitted.</w:t>
      </w:r>
    </w:p>
    <w:p w14:paraId="01BC4458" w14:textId="77777777" w:rsidR="00FA186F" w:rsidRPr="00FA186F" w:rsidRDefault="00FA186F" w:rsidP="000E360B">
      <w:pPr>
        <w:pStyle w:val="ListParagraph"/>
        <w:numPr>
          <w:ilvl w:val="0"/>
          <w:numId w:val="5"/>
        </w:numPr>
        <w:spacing w:line="480" w:lineRule="auto"/>
        <w:rPr>
          <w:rFonts w:ascii="Times New Roman" w:hAnsi="Times New Roman" w:cs="Times New Roman"/>
          <w:sz w:val="24"/>
          <w:szCs w:val="24"/>
        </w:rPr>
      </w:pPr>
      <w:r w:rsidRPr="00FA186F">
        <w:rPr>
          <w:rFonts w:ascii="Times New Roman" w:hAnsi="Times New Roman" w:cs="Times New Roman"/>
          <w:sz w:val="24"/>
          <w:szCs w:val="24"/>
        </w:rPr>
        <w:t>Submission of the abstract / case reports constitutes the consent of all authors for presentation and publication.</w:t>
      </w:r>
    </w:p>
    <w:p w14:paraId="2E96A455" w14:textId="77777777" w:rsidR="00FA186F" w:rsidRPr="00FA186F" w:rsidRDefault="00FA186F" w:rsidP="000E360B">
      <w:pPr>
        <w:pStyle w:val="ListParagraph"/>
        <w:numPr>
          <w:ilvl w:val="0"/>
          <w:numId w:val="5"/>
        </w:numPr>
        <w:spacing w:line="480" w:lineRule="auto"/>
        <w:rPr>
          <w:rFonts w:ascii="Times New Roman" w:hAnsi="Times New Roman" w:cs="Times New Roman"/>
          <w:sz w:val="24"/>
          <w:szCs w:val="24"/>
        </w:rPr>
      </w:pPr>
      <w:r w:rsidRPr="00FA186F">
        <w:rPr>
          <w:rFonts w:ascii="Times New Roman" w:hAnsi="Times New Roman" w:cs="Times New Roman"/>
          <w:sz w:val="24"/>
          <w:szCs w:val="24"/>
        </w:rPr>
        <w:t>The Abstract/case reports Submitter grants the Organizers a copyright license to reproduce, publish, translate, distribute, and display the text of the Content on a royalty-free, perpetual, irrevocable nonexclusive basis.</w:t>
      </w:r>
    </w:p>
    <w:p w14:paraId="642B2BD8" w14:textId="77777777" w:rsidR="00FA186F" w:rsidRPr="00FA186F" w:rsidRDefault="00FA186F" w:rsidP="000E360B">
      <w:pPr>
        <w:pStyle w:val="ListParagraph"/>
        <w:numPr>
          <w:ilvl w:val="0"/>
          <w:numId w:val="5"/>
        </w:numPr>
        <w:spacing w:line="480" w:lineRule="auto"/>
        <w:rPr>
          <w:rFonts w:ascii="Times New Roman" w:hAnsi="Times New Roman" w:cs="Times New Roman"/>
          <w:sz w:val="24"/>
          <w:szCs w:val="24"/>
        </w:rPr>
      </w:pPr>
      <w:r w:rsidRPr="00FA186F">
        <w:rPr>
          <w:rFonts w:ascii="Times New Roman" w:hAnsi="Times New Roman" w:cs="Times New Roman"/>
          <w:sz w:val="24"/>
          <w:szCs w:val="24"/>
        </w:rPr>
        <w:t>The Organizers reserve the right to remove from publication and/or presentation abstract/case reports which do not comply with the above.</w:t>
      </w:r>
    </w:p>
    <w:p w14:paraId="673DDB94" w14:textId="6017DF4E" w:rsidR="00FA186F" w:rsidRPr="00FA186F" w:rsidRDefault="00FA186F" w:rsidP="000E360B">
      <w:pPr>
        <w:pStyle w:val="ListParagraph"/>
        <w:numPr>
          <w:ilvl w:val="0"/>
          <w:numId w:val="5"/>
        </w:numPr>
        <w:spacing w:line="480" w:lineRule="auto"/>
        <w:rPr>
          <w:rFonts w:ascii="Times New Roman" w:hAnsi="Times New Roman" w:cs="Times New Roman"/>
          <w:sz w:val="24"/>
          <w:szCs w:val="24"/>
        </w:rPr>
      </w:pPr>
      <w:r w:rsidRPr="00FA186F">
        <w:rPr>
          <w:rFonts w:ascii="Times New Roman" w:hAnsi="Times New Roman" w:cs="Times New Roman"/>
          <w:sz w:val="24"/>
          <w:szCs w:val="24"/>
        </w:rPr>
        <w:t>I understand that I must select a specific Theme, Topic, and/or Sub-Topic for my abstract / case reports allocation. Although the Committee will work hard to honour this selection, this cannot be guaranteed. The Organizing Committee reserves the right to change the Theme or Topic category under which the abstract / case reports were originally submitted.</w:t>
      </w:r>
    </w:p>
    <w:p w14:paraId="424C7858" w14:textId="062DCF1B" w:rsidR="00FA186F" w:rsidRPr="003A1255" w:rsidRDefault="00FA186F" w:rsidP="00275E83">
      <w:pPr>
        <w:pStyle w:val="ListParagraph"/>
        <w:spacing w:line="240" w:lineRule="auto"/>
        <w:rPr>
          <w:rFonts w:ascii="Times New Roman" w:hAnsi="Times New Roman" w:cs="Times New Roman"/>
          <w:b/>
          <w:bCs/>
          <w:sz w:val="24"/>
          <w:szCs w:val="24"/>
        </w:rPr>
      </w:pPr>
    </w:p>
    <w:p w14:paraId="6CD320E3" w14:textId="266EFD00" w:rsidR="00E5103E" w:rsidRDefault="000E360B" w:rsidP="00275E83">
      <w:r>
        <w:rPr>
          <w:noProof/>
        </w:rPr>
        <w:drawing>
          <wp:anchor distT="0" distB="0" distL="114300" distR="114300" simplePos="0" relativeHeight="251658240" behindDoc="0" locked="0" layoutInCell="1" allowOverlap="1" wp14:anchorId="53D18A94" wp14:editId="1A91C2AF">
            <wp:simplePos x="0" y="0"/>
            <wp:positionH relativeFrom="margin">
              <wp:align>right</wp:align>
            </wp:positionH>
            <wp:positionV relativeFrom="paragraph">
              <wp:posOffset>262890</wp:posOffset>
            </wp:positionV>
            <wp:extent cx="1959610" cy="615950"/>
            <wp:effectExtent l="0" t="0" r="2540" b="0"/>
            <wp:wrapTopAndBottom/>
            <wp:docPr id="129067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59610" cy="61595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E5103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63B34" w14:textId="77777777" w:rsidR="00157D35" w:rsidRDefault="00157D35" w:rsidP="008D1AA7">
      <w:pPr>
        <w:spacing w:after="0" w:line="240" w:lineRule="auto"/>
      </w:pPr>
      <w:r>
        <w:separator/>
      </w:r>
    </w:p>
  </w:endnote>
  <w:endnote w:type="continuationSeparator" w:id="0">
    <w:p w14:paraId="18C958FE" w14:textId="77777777" w:rsidR="00157D35" w:rsidRDefault="00157D35" w:rsidP="008D1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C762E" w14:textId="77777777" w:rsidR="00157D35" w:rsidRDefault="00157D35" w:rsidP="008D1AA7">
      <w:pPr>
        <w:spacing w:after="0" w:line="240" w:lineRule="auto"/>
      </w:pPr>
      <w:r>
        <w:separator/>
      </w:r>
    </w:p>
  </w:footnote>
  <w:footnote w:type="continuationSeparator" w:id="0">
    <w:p w14:paraId="374AC212" w14:textId="77777777" w:rsidR="00157D35" w:rsidRDefault="00157D35" w:rsidP="008D1A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AF4D9" w14:textId="7E28D527" w:rsidR="00633F1B" w:rsidRPr="000228FC" w:rsidRDefault="000228FC">
    <w:pPr>
      <w:pStyle w:val="Header"/>
      <w:rPr>
        <w:rFonts w:ascii="Times New Roman" w:hAnsi="Times New Roman" w:cs="Times New Roman"/>
        <w:b/>
        <w:bCs/>
        <w:sz w:val="24"/>
        <w:szCs w:val="24"/>
        <w:lang w:val="en-US"/>
      </w:rPr>
    </w:pPr>
    <w:r w:rsidRPr="000228FC">
      <w:rPr>
        <w:rFonts w:ascii="Times New Roman" w:hAnsi="Times New Roman" w:cs="Times New Roman"/>
        <w:sz w:val="24"/>
        <w:szCs w:val="24"/>
        <w:lang w:val="en-US"/>
      </w:rPr>
      <w:t xml:space="preserve">            </w:t>
    </w:r>
    <w:r w:rsidRPr="000228FC">
      <w:rPr>
        <w:rFonts w:ascii="Times New Roman" w:hAnsi="Times New Roman" w:cs="Times New Roman"/>
        <w:b/>
        <w:bCs/>
        <w:sz w:val="24"/>
        <w:szCs w:val="24"/>
        <w:lang w:val="en-US"/>
      </w:rPr>
      <w:t xml:space="preserve">ABSTRACT FOR PODIUM PRESENTATION – </w:t>
    </w:r>
    <w:r w:rsidR="008533C7">
      <w:rPr>
        <w:rFonts w:ascii="Times New Roman" w:hAnsi="Times New Roman" w:cs="Times New Roman"/>
        <w:b/>
        <w:bCs/>
        <w:sz w:val="24"/>
        <w:szCs w:val="24"/>
        <w:lang w:val="en-US"/>
      </w:rPr>
      <w:t xml:space="preserve">RHINOCON </w:t>
    </w:r>
    <w:r w:rsidRPr="000228FC">
      <w:rPr>
        <w:rFonts w:ascii="Times New Roman" w:hAnsi="Times New Roman" w:cs="Times New Roman"/>
        <w:b/>
        <w:bCs/>
        <w:sz w:val="24"/>
        <w:szCs w:val="24"/>
        <w:lang w:val="en-US"/>
      </w:rP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52CC3"/>
    <w:multiLevelType w:val="multilevel"/>
    <w:tmpl w:val="FBFA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214E05"/>
    <w:multiLevelType w:val="hybridMultilevel"/>
    <w:tmpl w:val="55A4E4B4"/>
    <w:lvl w:ilvl="0" w:tplc="51F0E6A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9787B9C"/>
    <w:multiLevelType w:val="hybridMultilevel"/>
    <w:tmpl w:val="CEE4A0E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DD013AC"/>
    <w:multiLevelType w:val="multilevel"/>
    <w:tmpl w:val="E59C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F3181E"/>
    <w:multiLevelType w:val="multilevel"/>
    <w:tmpl w:val="EA44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167112">
    <w:abstractNumId w:val="3"/>
  </w:num>
  <w:num w:numId="2" w16cid:durableId="2015648410">
    <w:abstractNumId w:val="0"/>
  </w:num>
  <w:num w:numId="3" w16cid:durableId="934903106">
    <w:abstractNumId w:val="1"/>
  </w:num>
  <w:num w:numId="4" w16cid:durableId="1345085576">
    <w:abstractNumId w:val="4"/>
  </w:num>
  <w:num w:numId="5" w16cid:durableId="1708141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203"/>
    <w:rsid w:val="000228FC"/>
    <w:rsid w:val="0002544B"/>
    <w:rsid w:val="0006653B"/>
    <w:rsid w:val="00086AFB"/>
    <w:rsid w:val="000A5DB7"/>
    <w:rsid w:val="000E360B"/>
    <w:rsid w:val="000F782B"/>
    <w:rsid w:val="00157D35"/>
    <w:rsid w:val="001B2309"/>
    <w:rsid w:val="001E378B"/>
    <w:rsid w:val="001E4E68"/>
    <w:rsid w:val="00275E83"/>
    <w:rsid w:val="0028048F"/>
    <w:rsid w:val="00290EA2"/>
    <w:rsid w:val="0033277F"/>
    <w:rsid w:val="003A1255"/>
    <w:rsid w:val="003A629D"/>
    <w:rsid w:val="00466CC9"/>
    <w:rsid w:val="00474D11"/>
    <w:rsid w:val="004B0C0D"/>
    <w:rsid w:val="005019D4"/>
    <w:rsid w:val="0054013D"/>
    <w:rsid w:val="005667FF"/>
    <w:rsid w:val="005C73C1"/>
    <w:rsid w:val="005E2516"/>
    <w:rsid w:val="00631553"/>
    <w:rsid w:val="00633F1B"/>
    <w:rsid w:val="00637C21"/>
    <w:rsid w:val="00790170"/>
    <w:rsid w:val="0079793A"/>
    <w:rsid w:val="007A5375"/>
    <w:rsid w:val="007B7EEE"/>
    <w:rsid w:val="007E75D8"/>
    <w:rsid w:val="007F199D"/>
    <w:rsid w:val="00801D58"/>
    <w:rsid w:val="008533C7"/>
    <w:rsid w:val="00891E38"/>
    <w:rsid w:val="008B4AEA"/>
    <w:rsid w:val="008D1AA7"/>
    <w:rsid w:val="0095471B"/>
    <w:rsid w:val="009609D7"/>
    <w:rsid w:val="009C3719"/>
    <w:rsid w:val="009D13DA"/>
    <w:rsid w:val="00A02203"/>
    <w:rsid w:val="00A365D5"/>
    <w:rsid w:val="00A42B11"/>
    <w:rsid w:val="00A610A1"/>
    <w:rsid w:val="00A704D4"/>
    <w:rsid w:val="00AC03EA"/>
    <w:rsid w:val="00AE0EF0"/>
    <w:rsid w:val="00B313F7"/>
    <w:rsid w:val="00C42D85"/>
    <w:rsid w:val="00CB7B06"/>
    <w:rsid w:val="00CF61E7"/>
    <w:rsid w:val="00D6557F"/>
    <w:rsid w:val="00D8548B"/>
    <w:rsid w:val="00DB17E0"/>
    <w:rsid w:val="00DE0680"/>
    <w:rsid w:val="00E00A08"/>
    <w:rsid w:val="00E06BC0"/>
    <w:rsid w:val="00E5103E"/>
    <w:rsid w:val="00E56B24"/>
    <w:rsid w:val="00E65E77"/>
    <w:rsid w:val="00EA4165"/>
    <w:rsid w:val="00EB046C"/>
    <w:rsid w:val="00F263A1"/>
    <w:rsid w:val="00F576F2"/>
    <w:rsid w:val="00FA18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6B9056"/>
  <w15:chartTrackingRefBased/>
  <w15:docId w15:val="{00A7597D-AFC2-4BC4-9959-022066C83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2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22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22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22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22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22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2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2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2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2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22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22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22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22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2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203"/>
    <w:rPr>
      <w:rFonts w:eastAsiaTheme="majorEastAsia" w:cstheme="majorBidi"/>
      <w:color w:val="272727" w:themeColor="text1" w:themeTint="D8"/>
    </w:rPr>
  </w:style>
  <w:style w:type="paragraph" w:styleId="Title">
    <w:name w:val="Title"/>
    <w:basedOn w:val="Normal"/>
    <w:next w:val="Normal"/>
    <w:link w:val="TitleChar"/>
    <w:uiPriority w:val="10"/>
    <w:qFormat/>
    <w:rsid w:val="00A022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2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203"/>
    <w:pPr>
      <w:spacing w:before="160"/>
      <w:jc w:val="center"/>
    </w:pPr>
    <w:rPr>
      <w:i/>
      <w:iCs/>
      <w:color w:val="404040" w:themeColor="text1" w:themeTint="BF"/>
    </w:rPr>
  </w:style>
  <w:style w:type="character" w:customStyle="1" w:styleId="QuoteChar">
    <w:name w:val="Quote Char"/>
    <w:basedOn w:val="DefaultParagraphFont"/>
    <w:link w:val="Quote"/>
    <w:uiPriority w:val="29"/>
    <w:rsid w:val="00A02203"/>
    <w:rPr>
      <w:i/>
      <w:iCs/>
      <w:color w:val="404040" w:themeColor="text1" w:themeTint="BF"/>
    </w:rPr>
  </w:style>
  <w:style w:type="paragraph" w:styleId="ListParagraph">
    <w:name w:val="List Paragraph"/>
    <w:basedOn w:val="Normal"/>
    <w:uiPriority w:val="34"/>
    <w:qFormat/>
    <w:rsid w:val="00A02203"/>
    <w:pPr>
      <w:ind w:left="720"/>
      <w:contextualSpacing/>
    </w:pPr>
  </w:style>
  <w:style w:type="character" w:styleId="IntenseEmphasis">
    <w:name w:val="Intense Emphasis"/>
    <w:basedOn w:val="DefaultParagraphFont"/>
    <w:uiPriority w:val="21"/>
    <w:qFormat/>
    <w:rsid w:val="00A02203"/>
    <w:rPr>
      <w:i/>
      <w:iCs/>
      <w:color w:val="2F5496" w:themeColor="accent1" w:themeShade="BF"/>
    </w:rPr>
  </w:style>
  <w:style w:type="paragraph" w:styleId="IntenseQuote">
    <w:name w:val="Intense Quote"/>
    <w:basedOn w:val="Normal"/>
    <w:next w:val="Normal"/>
    <w:link w:val="IntenseQuoteChar"/>
    <w:uiPriority w:val="30"/>
    <w:qFormat/>
    <w:rsid w:val="00A022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2203"/>
    <w:rPr>
      <w:i/>
      <w:iCs/>
      <w:color w:val="2F5496" w:themeColor="accent1" w:themeShade="BF"/>
    </w:rPr>
  </w:style>
  <w:style w:type="character" w:styleId="IntenseReference">
    <w:name w:val="Intense Reference"/>
    <w:basedOn w:val="DefaultParagraphFont"/>
    <w:uiPriority w:val="32"/>
    <w:qFormat/>
    <w:rsid w:val="00A02203"/>
    <w:rPr>
      <w:b/>
      <w:bCs/>
      <w:smallCaps/>
      <w:color w:val="2F5496" w:themeColor="accent1" w:themeShade="BF"/>
      <w:spacing w:val="5"/>
    </w:rPr>
  </w:style>
  <w:style w:type="paragraph" w:styleId="Header">
    <w:name w:val="header"/>
    <w:basedOn w:val="Normal"/>
    <w:link w:val="HeaderChar"/>
    <w:uiPriority w:val="99"/>
    <w:unhideWhenUsed/>
    <w:rsid w:val="008D1A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1AA7"/>
  </w:style>
  <w:style w:type="paragraph" w:styleId="Footer">
    <w:name w:val="footer"/>
    <w:basedOn w:val="Normal"/>
    <w:link w:val="FooterChar"/>
    <w:uiPriority w:val="99"/>
    <w:unhideWhenUsed/>
    <w:rsid w:val="008D1A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1AA7"/>
  </w:style>
  <w:style w:type="paragraph" w:styleId="NormalWeb">
    <w:name w:val="Normal (Web)"/>
    <w:basedOn w:val="Normal"/>
    <w:uiPriority w:val="99"/>
    <w:semiHidden/>
    <w:unhideWhenUsed/>
    <w:rsid w:val="00E65E7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65E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898964">
      <w:bodyDiv w:val="1"/>
      <w:marLeft w:val="0"/>
      <w:marRight w:val="0"/>
      <w:marTop w:val="0"/>
      <w:marBottom w:val="0"/>
      <w:divBdr>
        <w:top w:val="none" w:sz="0" w:space="0" w:color="auto"/>
        <w:left w:val="none" w:sz="0" w:space="0" w:color="auto"/>
        <w:bottom w:val="none" w:sz="0" w:space="0" w:color="auto"/>
        <w:right w:val="none" w:sz="0" w:space="0" w:color="auto"/>
      </w:divBdr>
    </w:div>
    <w:div w:id="1108938209">
      <w:bodyDiv w:val="1"/>
      <w:marLeft w:val="0"/>
      <w:marRight w:val="0"/>
      <w:marTop w:val="0"/>
      <w:marBottom w:val="0"/>
      <w:divBdr>
        <w:top w:val="none" w:sz="0" w:space="0" w:color="auto"/>
        <w:left w:val="none" w:sz="0" w:space="0" w:color="auto"/>
        <w:bottom w:val="none" w:sz="0" w:space="0" w:color="auto"/>
        <w:right w:val="none" w:sz="0" w:space="0" w:color="auto"/>
      </w:divBdr>
    </w:div>
    <w:div w:id="1858696126">
      <w:bodyDiv w:val="1"/>
      <w:marLeft w:val="0"/>
      <w:marRight w:val="0"/>
      <w:marTop w:val="0"/>
      <w:marBottom w:val="0"/>
      <w:divBdr>
        <w:top w:val="none" w:sz="0" w:space="0" w:color="auto"/>
        <w:left w:val="none" w:sz="0" w:space="0" w:color="auto"/>
        <w:bottom w:val="none" w:sz="0" w:space="0" w:color="auto"/>
        <w:right w:val="none" w:sz="0" w:space="0" w:color="auto"/>
      </w:divBdr>
    </w:div>
    <w:div w:id="2048488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453</TotalTime>
  <Pages>2</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Prasanth Ragav</dc:creator>
  <cp:keywords/>
  <dc:description/>
  <cp:lastModifiedBy>Prasanth Ragav</cp:lastModifiedBy>
  <cp:revision>24</cp:revision>
  <dcterms:created xsi:type="dcterms:W3CDTF">2025-06-23T17:35:00Z</dcterms:created>
  <dcterms:modified xsi:type="dcterms:W3CDTF">2025-09-11T06:24:00Z</dcterms:modified>
</cp:coreProperties>
</file>