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Title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of p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aper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Comparative Analysis of the Visual Analogue Scale (VAS) and Nasal Obstruction Symptom Evaluation (NOSE) Score in the Evaluation of Post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Septoplasty Patients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Presenting Author</w:t>
      </w:r>
      <w:r>
        <w:rPr>
          <w:rFonts w:ascii="Times New Roman" w:hAnsi="Times New Roman"/>
          <w:sz w:val="24"/>
          <w:szCs w:val="24"/>
          <w:rtl w:val="0"/>
          <w:lang w:val="en-US"/>
        </w:rPr>
        <w:t>: Dr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Priya ( Resident Dept.of ENT &amp;HNS, GMC JAMMU )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Affiliation</w:t>
      </w:r>
      <w:r>
        <w:rPr>
          <w:rFonts w:ascii="Times New Roman" w:hAnsi="Times New Roman"/>
          <w:sz w:val="24"/>
          <w:szCs w:val="24"/>
          <w:rtl w:val="0"/>
          <w:lang w:val="en-US"/>
        </w:rPr>
        <w:t>: GMC Jammu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Aim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To compare and establish correlation between the NOSE score and VAS score in measuring symptomatic relief in patients undergoing septoplasty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Methodology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Sixty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patients with deviated nasal septum </w:t>
      </w:r>
      <w:r>
        <w:rPr>
          <w:rFonts w:ascii="Times New Roman" w:hAnsi="Times New Roman"/>
          <w:sz w:val="24"/>
          <w:szCs w:val="24"/>
          <w:rtl w:val="0"/>
          <w:lang w:val="en-US"/>
        </w:rPr>
        <w:t>who underwent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septoplasty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within period of 8 months </w:t>
      </w:r>
      <w:r>
        <w:rPr>
          <w:rFonts w:ascii="Times New Roman" w:hAnsi="Times New Roman"/>
          <w:sz w:val="24"/>
          <w:szCs w:val="24"/>
          <w:rtl w:val="0"/>
          <w:lang w:val="en-US"/>
        </w:rPr>
        <w:t>were included in the study. NOSE score &amp; VAS score (out of 100) was documented before and after surgery. Results were correlated and compared statistically.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Results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NOSE score analysis indicated that trouble breathing through the nose and nasal obstruction or blockage were the most bothersome preoperative symptoms, with mean scores of </w:t>
      </w:r>
      <w:r>
        <w:rPr>
          <w:rFonts w:ascii="Times New Roman" w:hAnsi="Times New Roman"/>
          <w:sz w:val="24"/>
          <w:szCs w:val="24"/>
          <w:rtl w:val="0"/>
          <w:lang w:val="en-US"/>
        </w:rPr>
        <w:t>83.60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sz w:val="24"/>
          <w:szCs w:val="24"/>
          <w:rtl w:val="0"/>
          <w:lang w:val="en-US"/>
        </w:rPr>
        <w:t>80.35</w:t>
      </w:r>
      <w:r>
        <w:rPr>
          <w:rFonts w:ascii="Times New Roman" w:hAnsi="Times New Roman"/>
          <w:sz w:val="24"/>
          <w:szCs w:val="24"/>
          <w:rtl w:val="0"/>
          <w:lang w:val="en-US"/>
        </w:rPr>
        <w:t>, respectively. Significant postoperative improvement was observed in both NOSE and VAS scores at 1- and 3-month</w:t>
      </w:r>
      <w:r>
        <w:rPr>
          <w:rFonts w:ascii="Times New Roman" w:hAnsi="Times New Roman"/>
          <w:sz w:val="24"/>
          <w:szCs w:val="24"/>
          <w:rtl w:val="0"/>
          <w:lang w:val="en-US"/>
        </w:rPr>
        <w:t>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follow-ups (Wilcoxon test, p &lt; 0.05). Spearman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 correlation confirmed a positive relationship between the two scoring systems, though NOSE score </w:t>
      </w:r>
      <w:r>
        <w:rPr>
          <w:rFonts w:ascii="Times New Roman" w:hAnsi="Times New Roman"/>
          <w:sz w:val="24"/>
          <w:szCs w:val="24"/>
          <w:rtl w:val="0"/>
          <w:lang w:val="en-US"/>
        </w:rPr>
        <w:t>was found to be superior.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Conclusion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NOSE and VAS scores were both effective tools for assessing postoperative outcomes after septoplasty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; however, NOSE score exhibited superior sensitivity in detecting symptomatic improvement and correlated more strongly with patient satisfaction.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cs="Times New Roman" w:hAnsi="Times New Roman" w:eastAsia="Times New Roman"/>
        </w:rPr>
        <w:br w:type="page"/>
      </w:r>
    </w:p>
    <w:p>
      <w:pPr>
        <w:pStyle w:val="Default"/>
        <w:suppressAutoHyphens w:val="1"/>
        <w:spacing w:before="0" w:after="240" w:line="240" w:lineRule="auto"/>
        <w:jc w:val="left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285698</wp:posOffset>
            </wp:positionH>
            <wp:positionV relativeFrom="page">
              <wp:posOffset>401493</wp:posOffset>
            </wp:positionV>
            <wp:extent cx="6985104" cy="9890414"/>
            <wp:effectExtent l="0" t="0" r="0" b="0"/>
            <wp:wrapTopAndBottom distT="152400" distB="152400"/>
            <wp:docPr id="1073741825" name="officeArt object" descr="2caa5c41-2661-4800-85a6-53c3a8c6fc9b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2caa5c41-2661-4800-85a6-53c3a8c6fc9b.jpeg" descr="2caa5c41-2661-4800-85a6-53c3a8c6fc9b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104" cy="9890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