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D7BA" w14:textId="7E5684C6" w:rsidR="004973F4" w:rsidRPr="00516F0E" w:rsidRDefault="00516F0E">
      <w:pPr>
        <w:rPr>
          <w:b/>
          <w:bCs/>
          <w:sz w:val="28"/>
          <w:szCs w:val="28"/>
        </w:rPr>
      </w:pPr>
      <w:r w:rsidRPr="00516F0E">
        <w:rPr>
          <w:b/>
          <w:bCs/>
          <w:sz w:val="28"/>
          <w:szCs w:val="28"/>
        </w:rPr>
        <w:t>Transnasal Endoscopic Orbital Decompression: A Case Series</w:t>
      </w:r>
    </w:p>
    <w:p w14:paraId="5DC97B18" w14:textId="1B62D8B6" w:rsidR="00516F0E" w:rsidRPr="00516F0E" w:rsidRDefault="00516F0E" w:rsidP="00516F0E">
      <w:pPr>
        <w:spacing w:line="360" w:lineRule="auto"/>
        <w:rPr>
          <w:i/>
          <w:iCs/>
          <w:sz w:val="24"/>
          <w:szCs w:val="24"/>
        </w:rPr>
      </w:pPr>
      <w:r w:rsidRPr="00516F0E">
        <w:rPr>
          <w:i/>
          <w:iCs/>
          <w:sz w:val="24"/>
          <w:szCs w:val="24"/>
        </w:rPr>
        <w:t>-Dr Anukaran Mahajan (Chikitsa ENT Hospital, Amritsar)</w:t>
      </w:r>
    </w:p>
    <w:p w14:paraId="0D1BADAE" w14:textId="0528926E" w:rsidR="00516F0E" w:rsidRPr="00516F0E" w:rsidRDefault="00516F0E" w:rsidP="00516F0E">
      <w:pPr>
        <w:spacing w:line="360" w:lineRule="auto"/>
        <w:rPr>
          <w:sz w:val="24"/>
          <w:szCs w:val="24"/>
        </w:rPr>
      </w:pPr>
      <w:r w:rsidRPr="00516F0E">
        <w:rPr>
          <w:sz w:val="24"/>
          <w:szCs w:val="24"/>
        </w:rPr>
        <w:t xml:space="preserve">Transnasal Endoscopic Orbital Decompression is a valuable surgical intervention for reducing orbital pressure, restoring ocular function, and improving cosmesis in patients with diverse orbital pathologies. This video presents a case series of six patients who underwent orbital decompression. Each patient underwent tailored surgical planning based on clinical presentation, imaging findings, and anticipated functional and aesthetic </w:t>
      </w:r>
      <w:proofErr w:type="spellStart"/>
      <w:proofErr w:type="gramStart"/>
      <w:r w:rsidRPr="00516F0E">
        <w:rPr>
          <w:sz w:val="24"/>
          <w:szCs w:val="24"/>
        </w:rPr>
        <w:t>outcomes.All</w:t>
      </w:r>
      <w:proofErr w:type="spellEnd"/>
      <w:proofErr w:type="gramEnd"/>
      <w:r w:rsidRPr="00516F0E">
        <w:rPr>
          <w:sz w:val="24"/>
          <w:szCs w:val="24"/>
        </w:rPr>
        <w:t xml:space="preserve"> patients experienced significant symptom relief, improved orbital volume, and satisfactory cosmetic outcomes. Postoperative follow-up at three to six months confirmed sustained improvement with no major complications. This series emphasizes the importance of transnasal endoscopic orbital decompression in managing a spectrum of orbital diseases, the importance of individualized surgical planning, and the role of precise technique in achieving optimal prognosis.</w:t>
      </w:r>
    </w:p>
    <w:sectPr w:rsidR="00516F0E" w:rsidRPr="00516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47FC5"/>
    <w:multiLevelType w:val="hybridMultilevel"/>
    <w:tmpl w:val="121E477A"/>
    <w:lvl w:ilvl="0" w:tplc="44468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43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EEB"/>
    <w:rsid w:val="000B11CD"/>
    <w:rsid w:val="002345F0"/>
    <w:rsid w:val="00365EEB"/>
    <w:rsid w:val="003D0742"/>
    <w:rsid w:val="004973F4"/>
    <w:rsid w:val="00516F0E"/>
    <w:rsid w:val="00591EBB"/>
    <w:rsid w:val="008A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1ED39"/>
  <w15:chartTrackingRefBased/>
  <w15:docId w15:val="{446FA5ED-4600-4050-A857-06ACC5A0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Anukaran Mahajan</dc:creator>
  <cp:keywords/>
  <dc:description/>
  <cp:lastModifiedBy>Anukaran Mahajan</cp:lastModifiedBy>
  <cp:revision>2</cp:revision>
  <dcterms:created xsi:type="dcterms:W3CDTF">2025-08-15T18:20:00Z</dcterms:created>
  <dcterms:modified xsi:type="dcterms:W3CDTF">2025-08-15T18:21:00Z</dcterms:modified>
</cp:coreProperties>
</file>