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after="80" w:line="240" w:lineRule="auto"/>
        <w:jc w:val="left"/>
        <w:rPr>
          <w:rFonts w:ascii="Times New Roman" w:cs="Times New Roman" w:hAnsi="Times New Roman" w:eastAsia="Times New Roman"/>
          <w:sz w:val="44"/>
          <w:szCs w:val="44"/>
        </w:rPr>
      </w:pPr>
      <w:r>
        <w:rPr>
          <w:rFonts w:ascii="Times New Roman" w:hAnsi="Times New Roman"/>
          <w:sz w:val="44"/>
          <w:szCs w:val="44"/>
          <w:rtl w:val="0"/>
          <w:lang w:val="en-US"/>
        </w:rPr>
        <w:t xml:space="preserve">Multidisciplinary Management of Advanced Juvenile Nasopharyngeal Angiofibroma: our institutional experience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Times New Roman" w:cs="Times New Roman" w:hAnsi="Times New Roman" w:eastAsia="Times New Roman"/>
          <w:sz w:val="34"/>
          <w:szCs w:val="34"/>
        </w:rPr>
      </w:pPr>
      <w:r>
        <w:rPr>
          <w:rFonts w:ascii="Times New Roman" w:hAnsi="Times New Roman"/>
          <w:sz w:val="34"/>
          <w:szCs w:val="34"/>
          <w:rtl w:val="0"/>
          <w:lang w:val="en-US"/>
        </w:rPr>
        <w:t xml:space="preserve">Presenting authors: Dr Sunishtha </w:t>
      </w:r>
      <w:r>
        <w:rPr>
          <w:rFonts w:ascii="Times New Roman" w:cs="Times New Roman" w:hAnsi="Times New Roman" w:eastAsia="Times New Roman"/>
          <w:sz w:val="34"/>
          <w:szCs w:val="34"/>
        </w:rPr>
        <w:br w:type="textWrapp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Times New Roman" w:cs="Times New Roman" w:hAnsi="Times New Roman" w:eastAsia="Times New Roman"/>
          <w:sz w:val="34"/>
          <w:szCs w:val="34"/>
        </w:rPr>
      </w:pPr>
      <w:r>
        <w:rPr>
          <w:rFonts w:ascii="Times New Roman" w:hAnsi="Times New Roman"/>
          <w:sz w:val="34"/>
          <w:szCs w:val="34"/>
          <w:rtl w:val="0"/>
        </w:rPr>
        <w:t xml:space="preserve">AIM: </w:t>
      </w:r>
      <w:r>
        <w:rPr>
          <w:rFonts w:ascii="Times New Roman" w:cs="Times New Roman" w:hAnsi="Times New Roman" w:eastAsia="Times New Roman"/>
          <w:sz w:val="34"/>
          <w:szCs w:val="34"/>
        </w:rPr>
        <w:br w:type="textWrapping"/>
      </w:r>
      <w:r>
        <w:rPr>
          <w:rFonts w:ascii="Times New Roman" w:hAnsi="Times New Roman"/>
          <w:sz w:val="34"/>
          <w:szCs w:val="34"/>
          <w:rtl w:val="0"/>
          <w:lang w:val="en-US"/>
        </w:rPr>
        <w:t>To highlight the evolving roles, coordination strategies, and clinical impact of a multidisciplinary approach in optimizing outcomes for patients with advanced JNA.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Times New Roman" w:cs="Times New Roman" w:hAnsi="Times New Roman" w:eastAsia="Times New Roman"/>
          <w:sz w:val="34"/>
          <w:szCs w:val="34"/>
        </w:rPr>
      </w:pPr>
      <w:r>
        <w:rPr>
          <w:rFonts w:ascii="Times New Roman" w:hAnsi="Times New Roman"/>
          <w:sz w:val="34"/>
          <w:szCs w:val="34"/>
          <w:rtl w:val="0"/>
          <w:lang w:val="en-US"/>
        </w:rPr>
        <w:t>Methods:</w:t>
      </w:r>
      <w:r>
        <w:rPr>
          <w:rFonts w:ascii="Times New Roman" w:cs="Times New Roman" w:hAnsi="Times New Roman" w:eastAsia="Times New Roman"/>
          <w:sz w:val="34"/>
          <w:szCs w:val="34"/>
        </w:rPr>
        <w:br w:type="textWrapping"/>
      </w:r>
      <w:r>
        <w:rPr>
          <w:rFonts w:ascii="Times New Roman" w:hAnsi="Times New Roman"/>
          <w:sz w:val="34"/>
          <w:szCs w:val="34"/>
          <w:rtl w:val="0"/>
          <w:lang w:val="en-US"/>
        </w:rPr>
        <w:t>A comprehensive review of current clinical practices was conducted, focusing on key components of multidisciplinary care: advanced imaging, endovascular embolization, endoscopic and combined surgical approaches, intraoperative navigation, blood-loss reduction strategies, and the selective use of adjuvant radiotherapy. Case examples from our  institutional experience are used to illustrate decision-making processes.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Times New Roman" w:cs="Times New Roman" w:hAnsi="Times New Roman" w:eastAsia="Times New Roman"/>
          <w:sz w:val="34"/>
          <w:szCs w:val="34"/>
        </w:rPr>
      </w:pPr>
      <w:r>
        <w:rPr>
          <w:rFonts w:ascii="Times New Roman" w:hAnsi="Times New Roman"/>
          <w:sz w:val="34"/>
          <w:szCs w:val="34"/>
          <w:rtl w:val="0"/>
          <w:lang w:val="pt-PT"/>
        </w:rPr>
        <w:t>Results:</w:t>
      </w:r>
      <w:r>
        <w:rPr>
          <w:rFonts w:ascii="Times New Roman" w:cs="Times New Roman" w:hAnsi="Times New Roman" w:eastAsia="Times New Roman"/>
          <w:sz w:val="34"/>
          <w:szCs w:val="34"/>
        </w:rPr>
        <w:br w:type="textWrapping"/>
      </w:r>
      <w:r>
        <w:rPr>
          <w:rFonts w:ascii="Times New Roman" w:hAnsi="Times New Roman"/>
          <w:sz w:val="34"/>
          <w:szCs w:val="34"/>
          <w:rtl w:val="0"/>
          <w:lang w:val="en-US"/>
        </w:rPr>
        <w:t>Multidisciplinary planning enhances preoperative characterization of tumor extent, enabling tailored surgical corridors and reducing intraoperative risk. Preoperative embolization performed 24</w:t>
      </w:r>
      <w:r>
        <w:rPr>
          <w:rFonts w:ascii="Times New Roman" w:hAnsi="Times New Roman" w:hint="default"/>
          <w:sz w:val="34"/>
          <w:szCs w:val="34"/>
          <w:rtl w:val="0"/>
        </w:rPr>
        <w:t>–</w:t>
      </w:r>
      <w:r>
        <w:rPr>
          <w:rFonts w:ascii="Times New Roman" w:hAnsi="Times New Roman"/>
          <w:sz w:val="34"/>
          <w:szCs w:val="34"/>
          <w:rtl w:val="0"/>
          <w:lang w:val="en-US"/>
        </w:rPr>
        <w:t>48 hours before surgery consistently reduces intraoperative blood loss and operative time. Collaborative endoscopic</w:t>
      </w:r>
      <w:r>
        <w:rPr>
          <w:rFonts w:ascii="Times New Roman" w:hAnsi="Times New Roman" w:hint="default"/>
          <w:sz w:val="34"/>
          <w:szCs w:val="34"/>
          <w:rtl w:val="0"/>
        </w:rPr>
        <w:t>–</w:t>
      </w:r>
      <w:r>
        <w:rPr>
          <w:rFonts w:ascii="Times New Roman" w:hAnsi="Times New Roman"/>
          <w:sz w:val="34"/>
          <w:szCs w:val="34"/>
          <w:rtl w:val="0"/>
          <w:lang w:val="en-US"/>
        </w:rPr>
        <w:t>open hybrid approaches permit safer access to tumors with intracranial or infratemporal fossa involvement. Radiation therapy is effective as an adjunct for unresectable residual disease or recurrence, particularly near critical neurovascular structures. Overall, multidisciplinary management is associated with improved tumor control, reduced complications, shorter hospital stays, and better functional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pPr>
      <w:r>
        <w:rPr>
          <w:rFonts w:ascii="Times New Roman" w:hAnsi="Times New Roman"/>
          <w:sz w:val="34"/>
          <w:szCs w:val="34"/>
          <w:rtl w:val="0"/>
          <w:lang w:val="it-IT"/>
        </w:rPr>
        <w:t>Conclusion:</w:t>
      </w:r>
      <w:r>
        <w:rPr>
          <w:rFonts w:ascii="Times New Roman" w:cs="Times New Roman" w:hAnsi="Times New Roman" w:eastAsia="Times New Roman"/>
          <w:sz w:val="34"/>
          <w:szCs w:val="34"/>
        </w:rPr>
        <w:br w:type="textWrapping"/>
      </w:r>
      <w:r>
        <w:rPr>
          <w:rFonts w:ascii="Times New Roman" w:hAnsi="Times New Roman"/>
          <w:sz w:val="34"/>
          <w:szCs w:val="34"/>
          <w:rtl w:val="0"/>
          <w:lang w:val="en-US"/>
        </w:rPr>
        <w:t>A multidisciplinary strategy is essential in the management of advanced JNA, facilitating precise diagnosis, safer resection, and personalized adjuvant therapy. This collaborative approach not only improves oncologic control but also minimizes morbidity in this young patient population. Continued integration of advanced imaging, endovascular techniques, and minimally invasive skull</w:t>
      </w:r>
      <w:r>
        <w:rPr>
          <w:rFonts w:ascii="Times New Roman" w:hAnsi="Times New Roman" w:hint="default"/>
          <w:sz w:val="34"/>
          <w:szCs w:val="34"/>
          <w:rtl w:val="0"/>
        </w:rPr>
        <w:t>‐</w:t>
      </w:r>
      <w:r>
        <w:rPr>
          <w:rFonts w:ascii="Times New Roman" w:hAnsi="Times New Roman"/>
          <w:sz w:val="34"/>
          <w:szCs w:val="34"/>
          <w:rtl w:val="0"/>
        </w:rPr>
        <w:t>base surgery will further refine outcomes for complex JNA cases.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