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B9F3" w14:textId="08219A8C" w:rsidR="006E32F4" w:rsidRPr="004C761C" w:rsidRDefault="008501A0" w:rsidP="008501A0">
      <w:pPr>
        <w:jc w:val="center"/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</w:pPr>
      <w:r w:rsidRPr="004C761C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>ENTOMOPHTHOROMYCOSIS – THE TROPICAL FUNGAL INFILTRATOR</w:t>
      </w:r>
    </w:p>
    <w:p w14:paraId="5ED98DBF" w14:textId="77777777" w:rsidR="00FA16A8" w:rsidRPr="004C761C" w:rsidRDefault="00FA16A8" w:rsidP="008501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761C">
        <w:rPr>
          <w:rFonts w:ascii="Times New Roman" w:hAnsi="Times New Roman" w:cs="Times New Roman"/>
          <w:sz w:val="24"/>
          <w:szCs w:val="24"/>
          <w:lang w:val="en-US"/>
        </w:rPr>
        <w:t>Introduction:</w:t>
      </w:r>
    </w:p>
    <w:p w14:paraId="3DC9C6BC" w14:textId="77777777" w:rsidR="00FA16A8" w:rsidRPr="004C761C" w:rsidRDefault="00FA16A8" w:rsidP="00FA16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761C">
        <w:rPr>
          <w:rFonts w:ascii="Times New Roman" w:hAnsi="Times New Roman" w:cs="Times New Roman"/>
          <w:sz w:val="24"/>
          <w:szCs w:val="24"/>
          <w:lang w:val="en-US"/>
        </w:rPr>
        <w:t>Entomophthoromycosis is a rare, chronic fungal infection predominantly affecting immunocompetent individuals in tropical and subtropical regions. Caused by Conidiobolus and Basidiobolus species, it primarily involves nasal and facial subcutaneous tissues, often mimicking other granulomatous</w:t>
      </w:r>
    </w:p>
    <w:p w14:paraId="24FCBC43" w14:textId="3BDA3902" w:rsidR="00FA16A8" w:rsidRPr="004C761C" w:rsidRDefault="00FA16A8" w:rsidP="00FA16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761C">
        <w:rPr>
          <w:rFonts w:ascii="Times New Roman" w:hAnsi="Times New Roman" w:cs="Times New Roman"/>
          <w:sz w:val="24"/>
          <w:szCs w:val="24"/>
          <w:lang w:val="en-US"/>
        </w:rPr>
        <w:t xml:space="preserve"> Aim:</w:t>
      </w:r>
    </w:p>
    <w:p w14:paraId="358D4391" w14:textId="362759E9" w:rsidR="008501A0" w:rsidRPr="004C761C" w:rsidRDefault="00FA16A8" w:rsidP="00FA16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761C">
        <w:rPr>
          <w:rFonts w:ascii="Times New Roman" w:hAnsi="Times New Roman" w:cs="Times New Roman"/>
          <w:sz w:val="24"/>
          <w:szCs w:val="24"/>
          <w:lang w:val="en-US"/>
        </w:rPr>
        <w:t>To present a short case series highlighting the clinical spectrum, diagnostic approach, and successful management of rhino-facial Entomophthoromycosis in immunocompetent patients.</w:t>
      </w:r>
    </w:p>
    <w:p w14:paraId="5F8B471C" w14:textId="77777777" w:rsidR="00FA16A8" w:rsidRPr="004C761C" w:rsidRDefault="00FA16A8" w:rsidP="00FA16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761C">
        <w:rPr>
          <w:rFonts w:ascii="Times New Roman" w:hAnsi="Times New Roman" w:cs="Times New Roman"/>
          <w:sz w:val="24"/>
          <w:szCs w:val="24"/>
          <w:lang w:val="en-US"/>
        </w:rPr>
        <w:t>Case Report:</w:t>
      </w:r>
    </w:p>
    <w:p w14:paraId="0B8A5774" w14:textId="4B086607" w:rsidR="00FA16A8" w:rsidRPr="004C761C" w:rsidRDefault="00FA16A8" w:rsidP="00FA16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761C">
        <w:rPr>
          <w:rFonts w:ascii="Times New Roman" w:hAnsi="Times New Roman" w:cs="Times New Roman"/>
          <w:sz w:val="24"/>
          <w:szCs w:val="24"/>
          <w:lang w:val="en-US"/>
        </w:rPr>
        <w:t>Four male patients aged 2–19 years presented with nasal obstruction and facial swelling of 3–9 months duration. Diagnosis was confirmed through clinico-histopathological correlation demonstrating granulomatous inflammation with the Splendore-Hoeppli phenomenon. All cases were managed surgically through biopsy followed by medical therapy using liposomal amphotericin B, supersaturated potassium iodide (SSKI), and itraconazole. Patients showed complete recovery and remained disease-free during 1–13 years of follow-up.</w:t>
      </w:r>
    </w:p>
    <w:p w14:paraId="2CDB5D57" w14:textId="77777777" w:rsidR="00FA16A8" w:rsidRPr="004C761C" w:rsidRDefault="00FA16A8" w:rsidP="00FA16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761C">
        <w:rPr>
          <w:rFonts w:ascii="Times New Roman" w:hAnsi="Times New Roman" w:cs="Times New Roman"/>
          <w:sz w:val="24"/>
          <w:szCs w:val="24"/>
          <w:lang w:val="en-US"/>
        </w:rPr>
        <w:t>Discussion:</w:t>
      </w:r>
    </w:p>
    <w:p w14:paraId="76988D45" w14:textId="5BA60A04" w:rsidR="00FA16A8" w:rsidRPr="004C761C" w:rsidRDefault="00FA16A8" w:rsidP="00FA16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761C">
        <w:rPr>
          <w:rFonts w:ascii="Times New Roman" w:hAnsi="Times New Roman" w:cs="Times New Roman"/>
          <w:sz w:val="24"/>
          <w:szCs w:val="24"/>
          <w:lang w:val="en-US"/>
        </w:rPr>
        <w:t>Due to its indolent course and clinical resemblance to other granulomatous diseases, Entomophthoromycosis often faces delayed diagnosis. Histopathology remains crucial, while combination antifungal therapy offers optimal results.</w:t>
      </w:r>
    </w:p>
    <w:p w14:paraId="427B6DAC" w14:textId="77777777" w:rsidR="00FA16A8" w:rsidRPr="004C761C" w:rsidRDefault="00FA16A8" w:rsidP="00FA16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761C">
        <w:rPr>
          <w:rFonts w:ascii="Times New Roman" w:hAnsi="Times New Roman" w:cs="Times New Roman"/>
          <w:sz w:val="24"/>
          <w:szCs w:val="24"/>
          <w:lang w:val="en-US"/>
        </w:rPr>
        <w:t>Conclusion:</w:t>
      </w:r>
    </w:p>
    <w:p w14:paraId="142B39B3" w14:textId="2063E77F" w:rsidR="00FA16A8" w:rsidRPr="004C761C" w:rsidRDefault="00FA16A8" w:rsidP="00FA16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761C">
        <w:rPr>
          <w:rFonts w:ascii="Times New Roman" w:hAnsi="Times New Roman" w:cs="Times New Roman"/>
          <w:sz w:val="24"/>
          <w:szCs w:val="24"/>
          <w:lang w:val="en-US"/>
        </w:rPr>
        <w:t>Early recognition, prompt histological confirmation, and combined antifungal therapy ensure favorable outcomes in rhino-facial Entomophthoromycosis. Heightened clinician awareness in endemic areas can prevent morbidity and facial disfigurement.</w:t>
      </w:r>
    </w:p>
    <w:p w14:paraId="6EC9D00B" w14:textId="77777777" w:rsidR="00FA16A8" w:rsidRPr="004C761C" w:rsidRDefault="00FA16A8" w:rsidP="00FA16A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F8FEE2" w14:textId="77777777" w:rsidR="00FA16A8" w:rsidRPr="004C761C" w:rsidRDefault="00FA16A8" w:rsidP="00FA16A8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A16A8" w:rsidRPr="004C7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A0"/>
    <w:rsid w:val="000D63D9"/>
    <w:rsid w:val="004C761C"/>
    <w:rsid w:val="004D7DEA"/>
    <w:rsid w:val="006E32F4"/>
    <w:rsid w:val="008501A0"/>
    <w:rsid w:val="00F535A3"/>
    <w:rsid w:val="00FA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E8865"/>
  <w15:chartTrackingRefBased/>
  <w15:docId w15:val="{CACD515B-30F4-4578-B7C1-89AB553B3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Tewari</dc:creator>
  <cp:keywords/>
  <dc:description/>
  <cp:lastModifiedBy>Swati Tewari</cp:lastModifiedBy>
  <cp:revision>2</cp:revision>
  <dcterms:created xsi:type="dcterms:W3CDTF">2025-10-29T16:43:00Z</dcterms:created>
  <dcterms:modified xsi:type="dcterms:W3CDTF">2025-10-29T16:43:00Z</dcterms:modified>
</cp:coreProperties>
</file>