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A01D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“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 xml:space="preserve">Prospective Clinicopathological Evaluation of Neutrophilic and Eosinophilic Inflammatory Endotypes in Chronic Rhinosinusitis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  <w:t>”</w:t>
      </w:r>
    </w:p>
    <w:p w14:paraId="4F11300E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40" w:lineRule="auto"/>
        <w:ind w:right="0"/>
        <w:jc w:val="both"/>
        <w:rPr>
          <w:rFonts w:hint="default" w:ascii="Times New Roman" w:hAnsi="Times New Roman" w:eastAsia="Times New Roman"/>
          <w:b/>
          <w:sz w:val="24"/>
          <w:szCs w:val="24"/>
          <w:rtl w:val="0"/>
        </w:rPr>
      </w:pPr>
      <w:r>
        <w:rPr>
          <w:rFonts w:hint="default" w:ascii="Times New Roman" w:hAnsi="Times New Roman" w:eastAsia="Times New Roman"/>
          <w:b/>
          <w:sz w:val="24"/>
          <w:szCs w:val="24"/>
          <w:rtl w:val="0"/>
        </w:rPr>
        <w:t>Presentor :- Dr. Aanandha Padmanathan V  (Post Graduate)</w:t>
      </w:r>
    </w:p>
    <w:p w14:paraId="67781844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40" w:lineRule="auto"/>
        <w:ind w:right="0"/>
        <w:jc w:val="both"/>
        <w:rPr>
          <w:rFonts w:hint="default" w:ascii="Times New Roman" w:hAnsi="Times New Roman" w:eastAsia="Times New Roman"/>
          <w:b/>
          <w:sz w:val="24"/>
          <w:szCs w:val="24"/>
          <w:rtl w:val="0"/>
        </w:rPr>
      </w:pPr>
      <w:r>
        <w:rPr>
          <w:rFonts w:hint="default" w:ascii="Times New Roman" w:hAnsi="Times New Roman" w:eastAsia="Times New Roman"/>
          <w:b/>
          <w:sz w:val="24"/>
          <w:szCs w:val="24"/>
          <w:rtl w:val="0"/>
        </w:rPr>
        <w:t>Guide       :- Dr. Saranya</w:t>
      </w:r>
      <w:r>
        <w:rPr>
          <w:rFonts w:hint="default" w:ascii="Times New Roman" w:hAnsi="Times New Roman" w:eastAsia="Times New Roman"/>
          <w:b/>
          <w:sz w:val="24"/>
          <w:szCs w:val="24"/>
          <w:rtl w:val="0"/>
          <w:lang w:val="en-IN"/>
        </w:rPr>
        <w:t xml:space="preserve"> Chitra Cheruvu (Assoc Prof) </w:t>
      </w:r>
      <w:r>
        <w:rPr>
          <w:rFonts w:hint="default" w:ascii="Times New Roman" w:hAnsi="Times New Roman" w:eastAsia="Times New Roman"/>
          <w:b/>
          <w:sz w:val="24"/>
          <w:szCs w:val="24"/>
          <w:rtl w:val="0"/>
        </w:rPr>
        <w:t>Department of ENT</w:t>
      </w:r>
      <w:r>
        <w:rPr>
          <w:rFonts w:hint="default" w:ascii="Times New Roman" w:hAnsi="Times New Roman" w:eastAsia="Times New Roman"/>
          <w:b/>
          <w:sz w:val="24"/>
          <w:szCs w:val="24"/>
          <w:rtl w:val="0"/>
          <w:lang w:val="en-IN"/>
        </w:rPr>
        <w:t>,</w:t>
      </w:r>
      <w:r>
        <w:rPr>
          <w:rFonts w:hint="default" w:ascii="Times New Roman" w:hAnsi="Times New Roman" w:eastAsia="Times New Roman"/>
          <w:b/>
          <w:sz w:val="24"/>
          <w:szCs w:val="24"/>
          <w:rtl w:val="0"/>
        </w:rPr>
        <w:t xml:space="preserve">  </w:t>
      </w:r>
    </w:p>
    <w:p w14:paraId="1342D2EC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40" w:lineRule="auto"/>
        <w:ind w:right="0" w:firstLine="1321" w:firstLineChars="550"/>
        <w:jc w:val="both"/>
        <w:rPr>
          <w:rFonts w:hint="default" w:ascii="Times New Roman" w:hAnsi="Times New Roman" w:eastAsia="Times New Roman"/>
          <w:b/>
          <w:sz w:val="24"/>
          <w:szCs w:val="24"/>
          <w:rtl w:val="0"/>
          <w:lang w:val="en-IN"/>
        </w:rPr>
      </w:pPr>
      <w:r>
        <w:rPr>
          <w:rFonts w:hint="default" w:ascii="Times New Roman" w:hAnsi="Times New Roman" w:eastAsia="Times New Roman"/>
          <w:b/>
          <w:sz w:val="24"/>
          <w:szCs w:val="24"/>
          <w:rtl w:val="0"/>
        </w:rPr>
        <w:t>Dr</w:t>
      </w:r>
      <w:r>
        <w:rPr>
          <w:rFonts w:hint="default" w:ascii="Times New Roman" w:hAnsi="Times New Roman" w:eastAsia="Times New Roman"/>
          <w:b/>
          <w:sz w:val="24"/>
          <w:szCs w:val="24"/>
          <w:rtl w:val="0"/>
          <w:lang w:val="en-IN"/>
        </w:rPr>
        <w:t>. Lionel Rohit Mathew(Assoc Prof)</w:t>
      </w:r>
      <w:r>
        <w:rPr>
          <w:rFonts w:hint="default" w:ascii="Times New Roman" w:hAnsi="Times New Roman" w:eastAsia="Times New Roman"/>
          <w:b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sz w:val="24"/>
          <w:szCs w:val="24"/>
          <w:rtl w:val="0"/>
          <w:lang w:val="en-IN"/>
        </w:rPr>
        <w:t>Dept of Pathology.</w:t>
      </w:r>
    </w:p>
    <w:p w14:paraId="41FE01DE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40" w:lineRule="auto"/>
        <w:ind w:right="0"/>
        <w:jc w:val="both"/>
        <w:rPr>
          <w:rFonts w:hint="default" w:ascii="Times New Roman" w:hAnsi="Times New Roman" w:eastAsia="Times New Roman"/>
          <w:b/>
          <w:sz w:val="24"/>
          <w:szCs w:val="24"/>
          <w:rtl w:val="0"/>
        </w:rPr>
      </w:pPr>
      <w:r>
        <w:rPr>
          <w:rFonts w:hint="default" w:ascii="Times New Roman" w:hAnsi="Times New Roman" w:eastAsia="Times New Roman"/>
          <w:b/>
          <w:sz w:val="24"/>
          <w:szCs w:val="24"/>
          <w:rtl w:val="0"/>
        </w:rPr>
        <w:t xml:space="preserve">                    </w:t>
      </w:r>
      <w:r>
        <w:rPr>
          <w:rFonts w:hint="default" w:ascii="Times New Roman" w:hAnsi="Times New Roman" w:eastAsia="Times New Roman"/>
          <w:b/>
          <w:sz w:val="24"/>
          <w:szCs w:val="24"/>
          <w:rtl w:val="0"/>
          <w:lang w:val="en-IN"/>
        </w:rPr>
        <w:t xml:space="preserve">  </w:t>
      </w:r>
      <w:r>
        <w:rPr>
          <w:rFonts w:hint="default" w:ascii="Times New Roman" w:hAnsi="Times New Roman" w:eastAsia="Times New Roman"/>
          <w:b/>
          <w:sz w:val="24"/>
          <w:szCs w:val="24"/>
          <w:rtl w:val="0"/>
        </w:rPr>
        <w:t>Sri Muthukumaran Medical College and Research Institute</w:t>
      </w:r>
    </w:p>
    <w:p w14:paraId="0F93477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722266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FFD1FE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Abstract</w:t>
      </w:r>
      <w:r>
        <w:rPr>
          <w:rStyle w:val="5"/>
          <w:rFonts w:hint="default" w:ascii="Times New Roman" w:hAnsi="Times New Roman" w:cs="Times New Roman"/>
          <w:sz w:val="24"/>
          <w:szCs w:val="24"/>
          <w:lang w:val="en-IN"/>
        </w:rPr>
        <w:t xml:space="preserve"> :</w:t>
      </w:r>
    </w:p>
    <w:p w14:paraId="2D38074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Background: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49D412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Chronic rhinosinusitis  is a multifactorial inflammatory d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isease</w:t>
      </w:r>
      <w:r>
        <w:rPr>
          <w:rFonts w:hint="default" w:ascii="Times New Roman" w:hAnsi="Times New Roman" w:cs="Times New Roman"/>
          <w:sz w:val="24"/>
          <w:szCs w:val="24"/>
        </w:rPr>
        <w:t xml:space="preserve"> of the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paranasal sinuses involving the</w:t>
      </w:r>
      <w:r>
        <w:rPr>
          <w:rFonts w:hint="default" w:ascii="Times New Roman" w:hAnsi="Times New Roman" w:cs="Times New Roman"/>
          <w:sz w:val="24"/>
          <w:szCs w:val="24"/>
        </w:rPr>
        <w:t xml:space="preserve"> sinonasal mucosa characterized by persistent symptoms lasting 12 weeks or longer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and </w:t>
      </w:r>
      <w:r>
        <w:rPr>
          <w:rFonts w:hint="default" w:ascii="Times New Roman" w:hAnsi="Times New Roman" w:cs="Times New Roman"/>
          <w:sz w:val="24"/>
          <w:szCs w:val="24"/>
        </w:rPr>
        <w:t xml:space="preserve">confirmed by diagnostic nasal endoscopy and computed tomography. </w:t>
      </w:r>
    </w:p>
    <w:p w14:paraId="13AB9AC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Aim : </w:t>
      </w:r>
    </w:p>
    <w:p w14:paraId="422FC5B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study aimed to evaluate the predominance of neutrophilic or eosinophilic inflammation in patients with Chronic rhinosinusitis through histopathological assessment, and to explore the association between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Chronic rhinosinusitis endotypes and relevant hematological parameters.</w:t>
      </w:r>
    </w:p>
    <w:p w14:paraId="4892CFB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IN"/>
        </w:rPr>
        <w:t>Methodology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D3444D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prospective cohort study was conducted over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one</w:t>
      </w:r>
      <w:r>
        <w:rPr>
          <w:rFonts w:hint="default" w:ascii="Times New Roman" w:hAnsi="Times New Roman" w:cs="Times New Roman"/>
          <w:sz w:val="24"/>
          <w:szCs w:val="24"/>
        </w:rPr>
        <w:t xml:space="preserve"> year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duration at Sri Muthukumaran medical college and research institute,</w:t>
      </w:r>
      <w:r>
        <w:rPr>
          <w:rFonts w:hint="default" w:ascii="Times New Roman" w:hAnsi="Times New Roman" w:cs="Times New Roman"/>
          <w:sz w:val="24"/>
          <w:szCs w:val="24"/>
        </w:rPr>
        <w:t xml:space="preserve"> a tertiary care center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among Fifty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four </w:t>
      </w:r>
      <w:r>
        <w:rPr>
          <w:rFonts w:hint="default" w:ascii="Times New Roman" w:hAnsi="Times New Roman" w:cs="Times New Roman"/>
          <w:sz w:val="24"/>
          <w:szCs w:val="24"/>
        </w:rPr>
        <w:t>patients diagnosed with Chronic rhinosinusitis. All p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atients</w:t>
      </w:r>
      <w:r>
        <w:rPr>
          <w:rFonts w:hint="default" w:ascii="Times New Roman" w:hAnsi="Times New Roman" w:cs="Times New Roman"/>
          <w:sz w:val="24"/>
          <w:szCs w:val="24"/>
        </w:rPr>
        <w:t xml:space="preserve"> underwent diagnostic nasal endoscopy, CT of the paranasal sinuses, complete blood count, absolute eosinophil count , erythrocyte sedimentation rate, and serum immunoglobulin E  estimation. Patients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underwent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functional endoscopic sinus surgery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and </w:t>
      </w:r>
      <w:r>
        <w:rPr>
          <w:rFonts w:hint="default" w:ascii="Times New Roman" w:hAnsi="Times New Roman" w:cs="Times New Roman"/>
          <w:sz w:val="24"/>
          <w:szCs w:val="24"/>
        </w:rPr>
        <w:t xml:space="preserve">biopsy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sent</w:t>
      </w:r>
      <w:r>
        <w:rPr>
          <w:rFonts w:hint="default" w:ascii="Times New Roman" w:hAnsi="Times New Roman" w:cs="Times New Roman"/>
          <w:sz w:val="24"/>
          <w:szCs w:val="24"/>
        </w:rPr>
        <w:t xml:space="preserve"> for histopathological examination.</w:t>
      </w:r>
    </w:p>
    <w:p w14:paraId="732118B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Results: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07FE08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Overall,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higher</w:t>
      </w:r>
      <w:r>
        <w:rPr>
          <w:rFonts w:hint="default" w:ascii="Times New Roman" w:hAnsi="Times New Roman" w:cs="Times New Roman"/>
          <w:sz w:val="24"/>
          <w:szCs w:val="24"/>
        </w:rPr>
        <w:t xml:space="preserve"> eosinophilic predominance was observed in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most</w:t>
      </w:r>
      <w:r>
        <w:rPr>
          <w:rFonts w:hint="default" w:ascii="Times New Roman" w:hAnsi="Times New Roman" w:cs="Times New Roman"/>
          <w:sz w:val="24"/>
          <w:szCs w:val="24"/>
        </w:rPr>
        <w:t xml:space="preserve"> of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the </w:t>
      </w:r>
      <w:r>
        <w:rPr>
          <w:rFonts w:hint="default" w:ascii="Times New Roman" w:hAnsi="Times New Roman" w:cs="Times New Roman"/>
          <w:sz w:val="24"/>
          <w:szCs w:val="24"/>
        </w:rPr>
        <w:t>cases.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statistically significant correlation was observed between findings on diagnostic nasal endoscopy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absolute eosinophil count.</w:t>
      </w:r>
    </w:p>
    <w:p w14:paraId="4F81255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74535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present study confirms that chronic rhinosinusitis is predominantly eosinophilic, although a considerable number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exhibit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ed</w:t>
      </w:r>
      <w:r>
        <w:rPr>
          <w:rFonts w:hint="default" w:ascii="Times New Roman" w:hAnsi="Times New Roman" w:cs="Times New Roman"/>
          <w:sz w:val="24"/>
          <w:szCs w:val="24"/>
        </w:rPr>
        <w:t xml:space="preserve"> mixed or neutrophilic inflammation.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IN"/>
        </w:rPr>
        <w:t>taph</w:t>
      </w:r>
      <w:bookmarkStart w:id="0" w:name="_GoBack"/>
      <w:bookmarkEnd w:id="0"/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 xml:space="preserve">. aureus biofilm and superantigen property has burdened treatment protocols for </w:t>
      </w:r>
      <w:r>
        <w:rPr>
          <w:rFonts w:hint="default" w:ascii="Times New Roman" w:hAnsi="Times New Roman" w:cs="Times New Roman"/>
          <w:sz w:val="24"/>
          <w:szCs w:val="24"/>
        </w:rPr>
        <w:t>chronic rhinosinusitis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 xml:space="preserve"> worldwide. Endotypes of </w:t>
      </w:r>
      <w:r>
        <w:rPr>
          <w:rFonts w:hint="default" w:ascii="Times New Roman" w:hAnsi="Times New Roman" w:cs="Times New Roman"/>
          <w:sz w:val="24"/>
          <w:szCs w:val="24"/>
        </w:rPr>
        <w:t>chronic rhinosinusitis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 xml:space="preserve"> and recalcitrant or recurrent </w:t>
      </w:r>
      <w:r>
        <w:rPr>
          <w:rFonts w:hint="default" w:ascii="Times New Roman" w:hAnsi="Times New Roman" w:cs="Times New Roman"/>
          <w:sz w:val="24"/>
          <w:szCs w:val="24"/>
        </w:rPr>
        <w:t>chronic rhinosinusitis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 xml:space="preserve"> are emerging hence we recommend more studies to look into the endotypes of chronic rhinosinusitis before initiating the treatment protocols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7C548E"/>
    <w:rsid w:val="0A19766F"/>
    <w:rsid w:val="32382A0B"/>
    <w:rsid w:val="6E7C548E"/>
    <w:rsid w:val="7663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2025-11-15T03:18:00Z</dcterms:created>
  <dc:creator>maxxr</dc:creator>
  <cp:lastModifiedBy>maxxr</cp:lastModifiedBy>
  <dcterms:modified xsi:type="dcterms:W3CDTF">2025-11-15T09:04:23Z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264037D82D4C40D293220C125B2360F7_11</vt:lpwstr>
  </property>
</Properties>
</file>