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10" w:after="1"/>
        <w:rPr>
          <w:sz w:val="18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pict>
          <v:group id="1026" filled="f" stroked="f" style="position:absolute;margin-left:754.33pt;margin-top:5.34pt;width:100.24pt;height:93.9pt;z-index:-2147483637;mso-position-horizontal-relative:page;mso-position-vertical-relative:page;mso-width-relative:page;mso-height-relative:page;mso-wrap-distance-left:0.0pt;mso-wrap-distance-right:0.0pt;visibility:visible;" coordsize="2481,2540" coordorigin="15116,-3033">
            <v:rect id="1027" fillcolor="#5b9bd4" stroked="f" style="position:absolute;left:15121;top:-1157;width:2468;height:657;z-index:3;mso-position-horizontal-relative:text;mso-position-vertical-relative:text;mso-width-relative:page;mso-height-relative:page;visibility:visible;">
              <v:stroke on="f"/>
              <v:fill/>
            </v:rect>
            <v:shape id="1028" coordsize="2468,657" coordorigin="15122,-1157" path="m15122,-500l17590,-500m17590,-1157l15122,-1157,15122,-500e" filled="f" stroked="t" style="position:absolute;left:15121;top:-1157;width:2468;height:657;z-index:4;mso-position-horizontal-relative:text;mso-position-vertical-relative:text;mso-width-relative:page;mso-height-relative:page;visibility:visible;">
              <v:stroke color="#41709c" weight="0.62pt"/>
              <v:fill/>
              <v:path textboxrect="15122,-1157,17590,-500" arrowok="t"/>
            </v:shape>
            <v:shape id="1029" type="#_x0000_t75" filled="f" stroked="f" style="position:absolute;left:15309;top:-3034;width:1805;height:1883;z-index:5;mso-position-horizontal-relative:text;mso-position-vertical-relative:text;mso-width-relative:page;mso-height-relative:page;visibility:visible;">
              <v:imagedata r:id="rId2" embosscolor="white" o:title=""/>
              <v:fill/>
            </v:shape>
            <v:fill/>
          </v:group>
        </w:pict>
      </w:r>
    </w:p>
    <w:p>
      <w:pPr>
        <w:pStyle w:val="style66"/>
        <w:ind w:left="442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1" type="#_x0000_t202" fillcolor="#5b9bd4" style="margin-left:0.0pt;margin-top:0.0pt;width:674.3pt;height:45.2pt;mso-wrap-distance-left:0.0pt;mso-wrap-distance-right:0.0pt;visibility:visible;">
            <w10:anchorlock/>
            <v:stroke joinstyle="miter" color="#41709c" weight="0.62pt"/>
            <v:fill rotate="true"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198"/>
                    <w:ind w:left="1206" w:right="0" w:firstLine="0"/>
                    <w:jc w:val="left"/>
                    <w:rPr>
                      <w:color w:val="000000"/>
                      <w:sz w:val="44"/>
                    </w:rPr>
                  </w:pPr>
                  <w:r>
                    <w:rPr>
                      <w:color w:val="ffffff"/>
                      <w:sz w:val="39"/>
                    </w:rPr>
                    <w:t xml:space="preserve">A RARE </w:t>
                  </w:r>
                  <w:r>
                    <w:rPr>
                      <w:color w:val="ffffff"/>
                      <w:sz w:val="39"/>
                      <w:lang w:val="en-US"/>
                    </w:rPr>
                    <w:t>C</w:t>
                  </w:r>
                  <w:r>
                    <w:rPr>
                      <w:color w:val="ffffff"/>
                      <w:sz w:val="39"/>
                    </w:rPr>
                    <w:t>ASE</w:t>
                  </w:r>
                  <w:r>
                    <w:rPr>
                      <w:color w:val="ffffff"/>
                      <w:sz w:val="39"/>
                      <w:lang w:val="en-US"/>
                    </w:rPr>
                    <w:t xml:space="preserve"> </w:t>
                  </w:r>
                  <w:r>
                    <w:rPr>
                      <w:color w:val="ffffff"/>
                      <w:sz w:val="39"/>
                    </w:rPr>
                    <w:t>REPORT</w:t>
                  </w:r>
                  <w:r>
                    <w:rPr>
                      <w:color w:val="ffffff"/>
                      <w:sz w:val="39"/>
                      <w:lang w:val="en-US"/>
                    </w:rPr>
                    <w:t xml:space="preserve"> </w:t>
                  </w:r>
                  <w:r>
                    <w:rPr>
                      <w:color w:val="ffffff"/>
                      <w:sz w:val="39"/>
                    </w:rPr>
                    <w:t>OF</w:t>
                  </w:r>
                  <w:r>
                    <w:rPr>
                      <w:color w:val="ffffff"/>
                      <w:sz w:val="39"/>
                      <w:lang w:val="en-US"/>
                    </w:rPr>
                    <w:t xml:space="preserve"> </w:t>
                  </w:r>
                  <w:r>
                    <w:rPr>
                      <w:color w:val="ffffff"/>
                      <w:sz w:val="39"/>
                    </w:rPr>
                    <w:t>NASOPHARYNGEAL</w:t>
                  </w:r>
                  <w:r>
                    <w:rPr>
                      <w:color w:val="ffffff"/>
                      <w:sz w:val="39"/>
                      <w:lang w:val="en-US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39"/>
                    </w:rPr>
                    <w:t>LYMPHOMA</w:t>
                  </w:r>
                  <w:r>
                    <w:rPr>
                      <w:color w:val="ffffff"/>
                      <w:spacing w:val="-2"/>
                      <w:sz w:val="44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0"/>
        <w:spacing w:after="0"/>
        <w:rPr>
          <w:sz w:val="20"/>
        </w:rPr>
        <w:sectPr>
          <w:type w:val="continuous"/>
          <w:pgSz w:w="17590" w:h="31660" w:orient="portrait"/>
          <w:pgMar w:top="0" w:right="0" w:bottom="0" w:left="0" w:header="720" w:footer="720" w:gutter="0"/>
        </w:sectPr>
      </w:pPr>
    </w:p>
    <w:p>
      <w:pPr>
        <w:pStyle w:val="style66"/>
        <w:rPr>
          <w:sz w:val="32"/>
        </w:rPr>
      </w:pPr>
    </w:p>
    <w:p>
      <w:pPr>
        <w:pStyle w:val="style179"/>
        <w:numPr>
          <w:ilvl w:val="0"/>
          <w:numId w:val="1"/>
        </w:numPr>
        <w:tabs>
          <w:tab w:val="left" w:leader="none" w:pos="989"/>
          <w:tab w:val="left" w:leader="none" w:pos="990"/>
        </w:tabs>
        <w:spacing w:before="258" w:after="0" w:lineRule="auto" w:line="256"/>
        <w:ind w:left="989" w:right="652" w:hanging="447"/>
        <w:jc w:val="left"/>
        <w:rPr>
          <w:sz w:val="29"/>
        </w:rPr>
      </w:pPr>
      <w:r>
        <w:rPr/>
        <w:pict>
          <v:shape id="1033" type="#_x0000_t202" fillcolor="#5b9bd4" style="position:absolute;margin-left:114.82pt;margin-top:-32.39pt;width:224.75pt;height:38.0pt;z-index:6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155"/>
                    <w:ind w:left="649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pacing w:val="-2"/>
                      <w:sz w:val="39"/>
                    </w:rPr>
                    <w:t>INTRODUCTION</w:t>
                  </w:r>
                </w:p>
              </w:txbxContent>
            </v:textbox>
          </v:shape>
        </w:pict>
      </w:r>
      <w:r>
        <w:rPr>
          <w:sz w:val="29"/>
        </w:rPr>
        <w:t>Extra nodal Lymphomas are very rare accounting for 25–30% of the cases [1].</w:t>
      </w:r>
    </w:p>
    <w:p>
      <w:pPr>
        <w:pStyle w:val="style179"/>
        <w:numPr>
          <w:ilvl w:val="0"/>
          <w:numId w:val="1"/>
        </w:numPr>
        <w:tabs>
          <w:tab w:val="left" w:leader="none" w:pos="1101"/>
          <w:tab w:val="left" w:leader="none" w:pos="1102"/>
        </w:tabs>
        <w:spacing w:before="0" w:after="0" w:lineRule="auto" w:line="240"/>
        <w:ind w:left="1101" w:right="0" w:hanging="560"/>
        <w:jc w:val="left"/>
        <w:rPr>
          <w:sz w:val="29"/>
        </w:rPr>
      </w:pPr>
      <w:r>
        <w:rPr>
          <w:sz w:val="29"/>
        </w:rPr>
        <w:t>Most</w:t>
      </w:r>
      <w:r>
        <w:rPr>
          <w:sz w:val="29"/>
        </w:rPr>
        <w:t>common</w:t>
      </w:r>
      <w:r>
        <w:rPr>
          <w:sz w:val="29"/>
        </w:rPr>
        <w:t>extra</w:t>
      </w:r>
      <w:r>
        <w:rPr>
          <w:sz w:val="29"/>
        </w:rPr>
        <w:t>nodal</w:t>
      </w:r>
      <w:r>
        <w:rPr>
          <w:sz w:val="29"/>
        </w:rPr>
        <w:t>site</w:t>
      </w:r>
      <w:r>
        <w:rPr>
          <w:sz w:val="29"/>
        </w:rPr>
        <w:t>is</w:t>
      </w:r>
      <w:r>
        <w:rPr>
          <w:sz w:val="29"/>
        </w:rPr>
        <w:t>gastrointestinal</w:t>
      </w:r>
      <w:r>
        <w:rPr>
          <w:sz w:val="29"/>
        </w:rPr>
        <w:t>[1,</w:t>
      </w:r>
      <w:r>
        <w:rPr>
          <w:spacing w:val="-5"/>
          <w:sz w:val="29"/>
        </w:rPr>
        <w:t>2].</w:t>
      </w:r>
    </w:p>
    <w:p>
      <w:pPr>
        <w:pStyle w:val="style179"/>
        <w:numPr>
          <w:ilvl w:val="0"/>
          <w:numId w:val="1"/>
        </w:numPr>
        <w:tabs>
          <w:tab w:val="left" w:leader="none" w:pos="1101"/>
          <w:tab w:val="left" w:leader="none" w:pos="1102"/>
        </w:tabs>
        <w:spacing w:before="22" w:after="0" w:lineRule="auto" w:line="240"/>
        <w:ind w:left="1101" w:right="0" w:hanging="560"/>
        <w:jc w:val="left"/>
        <w:rPr>
          <w:sz w:val="29"/>
        </w:rPr>
      </w:pPr>
      <w:r>
        <w:rPr>
          <w:sz w:val="29"/>
        </w:rPr>
        <w:t>Occurrence</w:t>
      </w:r>
      <w:r>
        <w:rPr>
          <w:sz w:val="29"/>
        </w:rPr>
        <w:t>of</w:t>
      </w:r>
      <w:r>
        <w:rPr>
          <w:sz w:val="29"/>
        </w:rPr>
        <w:t>NHL</w:t>
      </w:r>
      <w:r>
        <w:rPr>
          <w:sz w:val="29"/>
        </w:rPr>
        <w:t>in</w:t>
      </w:r>
      <w:r>
        <w:rPr>
          <w:sz w:val="29"/>
        </w:rPr>
        <w:t>Waldeyer’s</w:t>
      </w:r>
      <w:r>
        <w:rPr>
          <w:sz w:val="29"/>
        </w:rPr>
        <w:t>region</w:t>
      </w:r>
      <w:r>
        <w:rPr>
          <w:sz w:val="29"/>
        </w:rPr>
        <w:t>is</w:t>
      </w:r>
      <w:r>
        <w:rPr>
          <w:sz w:val="29"/>
        </w:rPr>
        <w:t>16–43%</w:t>
      </w:r>
      <w:r>
        <w:rPr>
          <w:spacing w:val="-2"/>
          <w:sz w:val="29"/>
        </w:rPr>
        <w:t>[3–5].</w:t>
      </w:r>
    </w:p>
    <w:p>
      <w:pPr>
        <w:pStyle w:val="style179"/>
        <w:numPr>
          <w:ilvl w:val="0"/>
          <w:numId w:val="1"/>
        </w:numPr>
        <w:tabs>
          <w:tab w:val="left" w:leader="none" w:pos="1101"/>
          <w:tab w:val="left" w:leader="none" w:pos="1102"/>
        </w:tabs>
        <w:spacing w:before="23" w:after="0" w:lineRule="auto" w:line="256"/>
        <w:ind w:left="1101" w:right="696" w:hanging="559"/>
        <w:jc w:val="left"/>
        <w:rPr>
          <w:sz w:val="29"/>
        </w:rPr>
      </w:pPr>
      <w:r>
        <w:rPr>
          <w:sz w:val="29"/>
        </w:rPr>
        <w:t xml:space="preserve">Most frequently affected sites are tonsils, base of tongue </w:t>
      </w:r>
      <w:r>
        <w:rPr>
          <w:sz w:val="29"/>
        </w:rPr>
        <w:t>and</w:t>
      </w:r>
      <w:r>
        <w:rPr>
          <w:sz w:val="29"/>
        </w:rPr>
        <w:t>nasopharynx [6].</w:t>
      </w:r>
    </w:p>
    <w:p>
      <w:pPr>
        <w:pStyle w:val="style66"/>
        <w:spacing w:before="9"/>
        <w:rPr>
          <w:sz w:val="22"/>
        </w:rPr>
      </w:pPr>
      <w:r>
        <w:rPr/>
        <w:pict>
          <v:shape id="1034" type="#_x0000_t202" fillcolor="#5b9bd4" style="position:absolute;margin-left:118.99pt;margin-top:14.67pt;width:216.4pt;height:22.15pt;z-index:-2147483640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0" w:lineRule="exact" w:line="430"/>
                    <w:ind w:left="756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z w:val="39"/>
                    </w:rPr>
                    <w:t>CASE</w:t>
                  </w:r>
                  <w:r>
                    <w:rPr>
                      <w:b/>
                      <w:color w:val="ffffff"/>
                      <w:spacing w:val="-2"/>
                      <w:sz w:val="39"/>
                    </w:rPr>
                    <w:t>REPORT</w:t>
                  </w:r>
                </w:p>
              </w:txbxContent>
            </v:textbox>
          </v:shape>
        </w:pict>
      </w:r>
    </w:p>
    <w:p>
      <w:pPr>
        <w:pStyle w:val="style66"/>
        <w:rPr>
          <w:sz w:val="32"/>
        </w:rPr>
      </w:pPr>
    </w:p>
    <w:p>
      <w:pPr>
        <w:pStyle w:val="style66"/>
        <w:rPr>
          <w:sz w:val="29"/>
        </w:rPr>
      </w:pPr>
    </w:p>
    <w:p>
      <w:pPr>
        <w:pStyle w:val="style4098"/>
        <w:rPr>
          <w:b w:val="false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3467789</wp:posOffset>
            </wp:positionH>
            <wp:positionV relativeFrom="paragraph">
              <wp:posOffset>-27774</wp:posOffset>
            </wp:positionV>
            <wp:extent cx="2085212" cy="2293261"/>
            <wp:effectExtent l="0" t="0" r="0" b="0"/>
            <wp:wrapNone/>
            <wp:docPr id="1035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5212" cy="229326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pacing w:val="-2"/>
        </w:rPr>
        <w:t>HISTORY</w:t>
      </w:r>
      <w:r>
        <w:rPr>
          <w:b w:val="false"/>
          <w:spacing w:val="-2"/>
        </w:rPr>
        <w:t>:</w:t>
      </w:r>
    </w:p>
    <w:p>
      <w:pPr>
        <w:pStyle w:val="style0"/>
        <w:spacing w:before="24" w:lineRule="auto" w:line="256"/>
        <w:ind w:left="784" w:right="3830" w:firstLine="0"/>
        <w:jc w:val="left"/>
        <w:rPr>
          <w:sz w:val="29"/>
        </w:rPr>
      </w:pPr>
      <w:r>
        <w:rPr>
          <w:sz w:val="29"/>
        </w:rPr>
        <w:t xml:space="preserve">48year old female presented to us with a complaint of nasal obstruction,snoring,nasal </w:t>
      </w:r>
      <w:r>
        <w:rPr>
          <w:sz w:val="29"/>
        </w:rPr>
        <w:t>discharge since 1 year.</w:t>
      </w:r>
    </w:p>
    <w:p>
      <w:pPr>
        <w:pStyle w:val="style4098"/>
        <w:spacing w:before="3"/>
        <w:rPr/>
      </w:pPr>
      <w:r>
        <w:t>On</w:t>
      </w:r>
      <w:r>
        <w:t>examination</w:t>
      </w:r>
      <w:r>
        <w:rPr>
          <w:spacing w:val="-10"/>
        </w:rPr>
        <w:t>:</w:t>
      </w:r>
    </w:p>
    <w:p>
      <w:pPr>
        <w:pStyle w:val="style0"/>
        <w:spacing w:before="14" w:lineRule="auto" w:line="256"/>
        <w:ind w:left="784" w:right="3782" w:firstLine="74"/>
        <w:jc w:val="left"/>
        <w:rPr>
          <w:sz w:val="29"/>
        </w:rPr>
      </w:pPr>
      <w:r>
        <w:rPr>
          <w:sz w:val="30"/>
        </w:rPr>
        <w:t xml:space="preserve">On diagnostic nasal </w:t>
      </w:r>
      <w:r>
        <w:rPr>
          <w:sz w:val="29"/>
        </w:rPr>
        <w:t>endoscopy(DNE) fleshy</w:t>
      </w:r>
      <w:r>
        <w:rPr>
          <w:sz w:val="29"/>
        </w:rPr>
        <w:t xml:space="preserve">mass in nasopharynx obliterating the choana.Patient was posted for </w:t>
      </w:r>
      <w:r>
        <w:rPr>
          <w:sz w:val="29"/>
        </w:rPr>
        <w:t>Nasal endoscopic Biopsy.</w:t>
      </w:r>
    </w:p>
    <w:p>
      <w:pPr>
        <w:pStyle w:val="style66"/>
        <w:rPr>
          <w:sz w:val="20"/>
        </w:rPr>
      </w:pPr>
    </w:p>
    <w:p>
      <w:pPr>
        <w:pStyle w:val="style66"/>
        <w:spacing w:before="4"/>
        <w:rPr>
          <w:sz w:val="18"/>
        </w:rPr>
      </w:pPr>
      <w:r>
        <w:rPr/>
        <w:pict>
          <v:shape id="1036" type="#_x0000_t202" fillcolor="#5b9bd4" style="position:absolute;margin-left:113.03pt;margin-top:12.11pt;width:238.0pt;height:28.55pt;z-index:-2147483639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79"/>
                    <w:ind w:left="652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pacing w:val="-2"/>
                      <w:sz w:val="39"/>
                    </w:rPr>
                    <w:t>INVESTIGATIONS</w:t>
                  </w:r>
                </w:p>
              </w:txbxContent>
            </v:textbox>
          </v:shape>
        </w:pict>
      </w:r>
    </w:p>
    <w:p>
      <w:pPr>
        <w:pStyle w:val="style66"/>
        <w:rPr>
          <w:sz w:val="32"/>
        </w:rPr>
      </w:pPr>
    </w:p>
    <w:p>
      <w:pPr>
        <w:pStyle w:val="style179"/>
        <w:numPr>
          <w:ilvl w:val="1"/>
          <w:numId w:val="1"/>
        </w:numPr>
        <w:tabs>
          <w:tab w:val="left" w:leader="none" w:pos="1287"/>
          <w:tab w:val="left" w:leader="none" w:pos="1288"/>
        </w:tabs>
        <w:spacing w:before="0" w:after="0" w:lineRule="auto" w:line="251"/>
        <w:ind w:left="1287" w:right="3718" w:hanging="336"/>
        <w:jc w:val="left"/>
        <w:rPr>
          <w:sz w:val="29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3562356</wp:posOffset>
            </wp:positionH>
            <wp:positionV relativeFrom="paragraph">
              <wp:posOffset>-79922</wp:posOffset>
            </wp:positionV>
            <wp:extent cx="2137224" cy="1674789"/>
            <wp:effectExtent l="0" t="0" r="0" b="0"/>
            <wp:wrapNone/>
            <wp:docPr id="103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7224" cy="167478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CECT PNS shows well defined hypodense soft tissue lesion </w:t>
      </w:r>
      <w:r>
        <w:rPr>
          <w:sz w:val="30"/>
        </w:rPr>
        <w:t>measuring</w:t>
      </w:r>
      <w:r>
        <w:rPr>
          <w:sz w:val="30"/>
        </w:rPr>
        <w:t>3.5cm</w:t>
      </w:r>
      <w:r>
        <w:rPr>
          <w:rFonts w:ascii="Verdana" w:hAnsi="Verdana"/>
          <w:sz w:val="30"/>
        </w:rPr>
        <w:t>×</w:t>
      </w:r>
      <w:r>
        <w:rPr>
          <w:sz w:val="30"/>
        </w:rPr>
        <w:t>2.8cm</w:t>
      </w:r>
      <w:r>
        <w:rPr>
          <w:sz w:val="30"/>
        </w:rPr>
        <w:t>is</w:t>
      </w:r>
      <w:r>
        <w:rPr>
          <w:sz w:val="30"/>
        </w:rPr>
        <w:t xml:space="preserve">seen </w:t>
      </w:r>
      <w:r>
        <w:rPr>
          <w:sz w:val="29"/>
        </w:rPr>
        <w:t xml:space="preserve">in the posterio- superior region </w:t>
      </w:r>
      <w:r>
        <w:rPr>
          <w:sz w:val="29"/>
        </w:rPr>
        <w:t>of</w:t>
      </w:r>
      <w:r>
        <w:rPr>
          <w:spacing w:val="-2"/>
          <w:sz w:val="29"/>
        </w:rPr>
        <w:t>Nasopharynx</w:t>
      </w:r>
    </w:p>
    <w:p>
      <w:pPr>
        <w:pStyle w:val="style179"/>
        <w:numPr>
          <w:ilvl w:val="1"/>
          <w:numId w:val="1"/>
        </w:numPr>
        <w:tabs>
          <w:tab w:val="left" w:leader="none" w:pos="1287"/>
          <w:tab w:val="left" w:leader="none" w:pos="1288"/>
        </w:tabs>
        <w:spacing w:before="73" w:after="0" w:lineRule="auto" w:line="256"/>
        <w:ind w:left="1287" w:right="4154" w:hanging="336"/>
        <w:jc w:val="left"/>
        <w:rPr>
          <w:sz w:val="29"/>
        </w:rPr>
      </w:pPr>
      <w:r>
        <w:rPr>
          <w:spacing w:val="-2"/>
          <w:sz w:val="29"/>
        </w:rPr>
        <w:t xml:space="preserve">Immunohistochemistry(IHC)- </w:t>
      </w:r>
      <w:r>
        <w:rPr>
          <w:sz w:val="29"/>
        </w:rPr>
        <w:t xml:space="preserve">strongly positive for </w:t>
      </w:r>
      <w:r>
        <w:rPr>
          <w:spacing w:val="-2"/>
          <w:sz w:val="29"/>
        </w:rPr>
        <w:t>CD21,CD20,CD5</w:t>
      </w:r>
    </w:p>
    <w:p>
      <w:pPr>
        <w:pStyle w:val="style66"/>
        <w:spacing w:before="9"/>
        <w:rPr>
          <w:sz w:val="6"/>
        </w:rPr>
      </w:pPr>
      <w:r>
        <w:rPr/>
        <w:pict>
          <v:shape id="1038" type="#_x0000_t202" fillcolor="#5b9bd4" style="position:absolute;margin-left:84.37pt;margin-top:5.48pt;width:266.65pt;height:23.8pt;z-index:-2147483638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31" w:lineRule="exact" w:line="431"/>
                    <w:ind w:left="1392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pacing w:val="-2"/>
                      <w:sz w:val="39"/>
                    </w:rPr>
                    <w:t>TREATMENT</w:t>
                  </w:r>
                </w:p>
              </w:txbxContent>
            </v:textbox>
          </v:shape>
        </w:pict>
      </w:r>
    </w:p>
    <w:p>
      <w:pPr>
        <w:pStyle w:val="style66"/>
        <w:spacing w:before="6"/>
        <w:rPr>
          <w:sz w:val="35"/>
        </w:rPr>
      </w:pPr>
    </w:p>
    <w:p>
      <w:pPr>
        <w:pStyle w:val="style0"/>
        <w:spacing w:before="0"/>
        <w:ind w:left="1227" w:right="1626" w:firstLine="0"/>
        <w:jc w:val="center"/>
        <w:rPr>
          <w:sz w:val="29"/>
        </w:rPr>
      </w:pPr>
      <w:r>
        <w:rPr>
          <w:sz w:val="29"/>
        </w:rPr>
        <w:t>The</w:t>
      </w:r>
      <w:r>
        <w:rPr>
          <w:sz w:val="29"/>
        </w:rPr>
        <w:t>patient</w:t>
      </w:r>
      <w:r>
        <w:rPr>
          <w:sz w:val="29"/>
        </w:rPr>
        <w:t>was</w:t>
      </w:r>
      <w:r>
        <w:rPr>
          <w:sz w:val="29"/>
        </w:rPr>
        <w:t>posted</w:t>
      </w:r>
      <w:r>
        <w:rPr>
          <w:sz w:val="29"/>
        </w:rPr>
        <w:t>for</w:t>
      </w:r>
      <w:r>
        <w:rPr>
          <w:sz w:val="29"/>
        </w:rPr>
        <w:t>nasal</w:t>
      </w:r>
      <w:r>
        <w:rPr>
          <w:sz w:val="29"/>
        </w:rPr>
        <w:t>endoscopic</w:t>
      </w:r>
      <w:r>
        <w:rPr>
          <w:spacing w:val="-2"/>
          <w:sz w:val="29"/>
        </w:rPr>
        <w:t>biopy.</w:t>
      </w:r>
    </w:p>
    <w:p>
      <w:pPr>
        <w:pStyle w:val="style66"/>
        <w:rPr>
          <w:sz w:val="20"/>
        </w:rPr>
      </w:pPr>
    </w:p>
    <w:p>
      <w:pPr>
        <w:pStyle w:val="style66"/>
        <w:spacing w:before="4"/>
        <w:rPr>
          <w:sz w:val="15"/>
        </w:rPr>
      </w:pPr>
      <w:r>
        <w:rPr/>
        <w:pict>
          <v:shape id="1039" type="#_x0000_t202" fillcolor="#5b9bd4" style="position:absolute;margin-left:59.42pt;margin-top:10.38pt;width:312.45pt;height:41.65pt;z-index:-2147483636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192"/>
                    <w:ind w:left="621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z w:val="39"/>
                    </w:rPr>
                    <w:t>INTRAOP</w:t>
                  </w:r>
                  <w:r>
                    <w:rPr>
                      <w:b/>
                      <w:color w:val="ffffff"/>
                      <w:spacing w:val="-2"/>
                      <w:sz w:val="39"/>
                    </w:rPr>
                    <w:t>PHOTOGRAPHS</w:t>
                  </w:r>
                </w:p>
              </w:txbxContent>
            </v:textbox>
          </v:shape>
        </w:pict>
      </w:r>
    </w:p>
    <w:p>
      <w:pPr>
        <w:pStyle w:val="style66"/>
        <w:rPr>
          <w:sz w:val="32"/>
        </w:rPr>
      </w:pPr>
    </w:p>
    <w:p>
      <w:pPr>
        <w:pStyle w:val="style66"/>
        <w:spacing w:before="3"/>
        <w:rPr>
          <w:sz w:val="39"/>
        </w:rPr>
      </w:pPr>
    </w:p>
    <w:p>
      <w:pPr>
        <w:pStyle w:val="style0"/>
        <w:spacing w:before="0" w:lineRule="auto" w:line="259"/>
        <w:ind w:left="1536" w:right="4142" w:firstLine="0"/>
        <w:jc w:val="left"/>
        <w:rPr>
          <w:sz w:val="39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3314589</wp:posOffset>
            </wp:positionH>
            <wp:positionV relativeFrom="paragraph">
              <wp:posOffset>-302255</wp:posOffset>
            </wp:positionV>
            <wp:extent cx="2022797" cy="1740986"/>
            <wp:effectExtent l="0" t="0" r="0" b="0"/>
            <wp:wrapNone/>
            <wp:docPr id="1040" name="image3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22797" cy="174098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Collecting biopsy </w:t>
      </w:r>
      <w:r>
        <w:rPr>
          <w:sz w:val="29"/>
        </w:rPr>
        <w:t xml:space="preserve">from </w:t>
      </w:r>
      <w:r>
        <w:rPr>
          <w:spacing w:val="-2"/>
          <w:sz w:val="29"/>
        </w:rPr>
        <w:t>mass</w:t>
      </w:r>
      <w:r>
        <w:rPr>
          <w:spacing w:val="-2"/>
          <w:sz w:val="39"/>
        </w:rPr>
        <w:t>.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4"/>
        <w:rPr>
          <w:sz w:val="29"/>
        </w:rPr>
      </w:pPr>
      <w:r>
        <w:rPr/>
        <w:pict>
          <v:shape id="1041" type="#_x0000_t202" fillcolor="#5b9bd4" style="position:absolute;margin-left:17.35pt;margin-top:18.44pt;width:413.65pt;height:28.7pt;z-index:-2147483634;mso-position-horizontal-relative:page;mso-position-vertical-relative:text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63"/>
                    <w:ind w:left="622" w:right="0" w:firstLine="0"/>
                    <w:jc w:val="left"/>
                    <w:rPr>
                      <w:color w:val="000000"/>
                      <w:sz w:val="39"/>
                    </w:rPr>
                  </w:pPr>
                  <w:r>
                    <w:rPr>
                      <w:color w:val="ffffff"/>
                      <w:spacing w:val="-4"/>
                      <w:sz w:val="39"/>
                    </w:rPr>
                    <w:t>HISTOPATHOLOGICAL</w:t>
                  </w:r>
                  <w:r>
                    <w:rPr>
                      <w:color w:val="ffffff"/>
                      <w:spacing w:val="-2"/>
                      <w:sz w:val="39"/>
                    </w:rPr>
                    <w:t>EXAMINATION</w:t>
                  </w:r>
                </w:p>
              </w:txbxContent>
            </v:textbox>
          </v:shape>
        </w:pict>
      </w:r>
    </w:p>
    <w:p>
      <w:pPr>
        <w:pStyle w:val="style66"/>
        <w:rPr>
          <w:sz w:val="40"/>
        </w:rPr>
      </w:pPr>
    </w:p>
    <w:p>
      <w:pPr>
        <w:pStyle w:val="style0"/>
        <w:spacing w:before="0" w:lineRule="auto" w:line="256"/>
        <w:ind w:left="784" w:right="3234" w:firstLine="0"/>
        <w:jc w:val="left"/>
        <w:rPr>
          <w:sz w:val="29"/>
        </w:rPr>
      </w:pP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3849841</wp:posOffset>
            </wp:positionH>
            <wp:positionV relativeFrom="paragraph">
              <wp:posOffset>-106107</wp:posOffset>
            </wp:positionV>
            <wp:extent cx="1422293" cy="1379739"/>
            <wp:effectExtent l="0" t="0" r="0" b="0"/>
            <wp:wrapNone/>
            <wp:docPr id="1042" name="image4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22293" cy="13797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Histopathological examination – a diffusely scattered lymphoid cells with vesicular nuclei and scanty cytoplasm. Infiltration of atypical cells in stroma suggestive of Non hodgkins </w:t>
      </w:r>
      <w:r>
        <w:rPr>
          <w:sz w:val="29"/>
        </w:rPr>
        <w:t>lymphoma.</w:t>
      </w:r>
      <w:r>
        <w:rPr/>
        <w:pict>
          <v:shape id="1043" type="#_x0000_t202" fillcolor="#5b9bd4" style="position:absolute;margin-left:113.35pt;margin-top:1403.9pt;width:162.91pt;height:50.57pt;z-index:-2147483633;mso-position-horizontal-relative:page;mso-position-vertical-relative:page;mso-width-relative:page;mso-height-relative:page;mso-wrap-distance-left:0.0pt;mso-wrap-distance-right:0.0pt;visibility:visible;flip:y;">
            <v:stroke joinstyle="miter" color="#41709c" weight="0.62pt"/>
            <w10:wrap type="topAndBottom"/>
            <v:fill/>
            <v:path o:connecttype="rect" gradientshapeok="t"/>
            <v:textbox inset="0.0pt,0.0pt,0.0pt,0.0pt" style="mso-fit-text-to-shape:true;">
              <w:txbxContent>
                <w:p>
                  <w:pPr>
                    <w:pStyle w:val="style0"/>
                    <w:spacing w:before="110"/>
                    <w:ind w:left="380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pacing w:val="-2"/>
                      <w:sz w:val="39"/>
                    </w:rPr>
                    <w:t>DISCUSSION</w:t>
                  </w:r>
                </w:p>
              </w:txbxContent>
            </v:textbox>
          </v:shape>
        </w:pict>
      </w:r>
    </w:p>
    <w:p>
      <w:pPr>
        <w:pStyle w:val="style66"/>
        <w:rPr>
          <w:sz w:val="20"/>
        </w:rPr>
      </w:pPr>
    </w:p>
    <w:p>
      <w:pPr>
        <w:pStyle w:val="style66"/>
        <w:spacing w:before="9"/>
        <w:rPr>
          <w:sz w:val="20"/>
        </w:rPr>
      </w:pPr>
    </w:p>
    <w:p>
      <w:pPr>
        <w:pStyle w:val="style179"/>
        <w:numPr>
          <w:ilvl w:val="0"/>
          <w:numId w:val="4"/>
        </w:numPr>
        <w:tabs>
          <w:tab w:val="left" w:leader="none" w:pos="982"/>
          <w:tab w:val="left" w:leader="none" w:pos="983"/>
        </w:tabs>
        <w:spacing w:before="0" w:after="0" w:lineRule="auto" w:line="256"/>
        <w:ind w:right="1777"/>
        <w:jc w:val="left"/>
        <w:rPr>
          <w:sz w:val="29"/>
        </w:rPr>
      </w:pPr>
      <w:r>
        <w:rPr>
          <w:sz w:val="29"/>
          <w:lang w:val="en-US"/>
        </w:rPr>
        <w:t xml:space="preserve">     </w:t>
      </w:r>
      <w:r>
        <w:rPr>
          <w:sz w:val="29"/>
        </w:rPr>
        <w:t xml:space="preserve">Lymphomas are classified as NHL and HL </w:t>
      </w:r>
      <w:r>
        <w:rPr>
          <w:sz w:val="29"/>
          <w:lang w:val="en-US"/>
        </w:rPr>
        <w:t xml:space="preserve"> </w:t>
      </w:r>
      <w:r>
        <w:rPr>
          <w:sz w:val="29"/>
        </w:rPr>
        <w:t xml:space="preserve">(Hogkins </w:t>
      </w:r>
      <w:r>
        <w:rPr>
          <w:sz w:val="29"/>
          <w:lang w:val="en-US"/>
        </w:rPr>
        <w:t xml:space="preserve">    </w:t>
      </w:r>
      <w:r>
        <w:rPr>
          <w:sz w:val="29"/>
        </w:rPr>
        <w:t>Lymphoma). NHL is usually a nodal disease [1].</w:t>
      </w:r>
    </w:p>
    <w:p>
      <w:pPr>
        <w:pStyle w:val="style179"/>
        <w:numPr>
          <w:ilvl w:val="0"/>
          <w:numId w:val="1"/>
        </w:numPr>
        <w:tabs>
          <w:tab w:val="left" w:leader="none" w:pos="982"/>
          <w:tab w:val="left" w:leader="none" w:pos="983"/>
        </w:tabs>
        <w:spacing w:before="0" w:after="0" w:lineRule="auto" w:line="256"/>
        <w:ind w:left="982" w:right="737" w:hanging="447"/>
        <w:jc w:val="left"/>
        <w:rPr>
          <w:sz w:val="29"/>
        </w:rPr>
      </w:pPr>
      <w:r>
        <w:rPr>
          <w:sz w:val="29"/>
        </w:rPr>
        <w:t>Extranodal NHL diseases involving head and neck region are heterogenous in origin [1–7]. 90% lymphomas are NHL and specifically B cell type.</w:t>
      </w:r>
      <w:r>
        <w:rPr>
          <w:sz w:val="29"/>
          <w:lang w:val="en-US"/>
        </w:rPr>
        <w:t xml:space="preserve">                                                               Dr.Pooja </w:t>
      </w:r>
    </w:p>
    <w:p>
      <w:pPr>
        <w:pStyle w:val="style179"/>
        <w:numPr>
          <w:ilvl w:val="0"/>
          <w:numId w:val="1"/>
        </w:numPr>
        <w:tabs>
          <w:tab w:val="left" w:leader="none" w:pos="982"/>
          <w:tab w:val="left" w:leader="none" w:pos="983"/>
        </w:tabs>
        <w:spacing w:before="1" w:after="0" w:lineRule="auto" w:line="253"/>
        <w:ind w:left="982" w:right="963" w:hanging="447"/>
        <w:jc w:val="left"/>
        <w:rPr>
          <w:sz w:val="29"/>
        </w:rPr>
      </w:pPr>
      <w:r>
        <w:rPr>
          <w:sz w:val="29"/>
        </w:rPr>
        <w:t>Extra nodal Lymphomas are very rare accounting for 25–</w:t>
      </w:r>
      <w:r>
        <w:rPr>
          <w:sz w:val="30"/>
        </w:rPr>
        <w:t>30%</w:t>
      </w:r>
      <w:r>
        <w:rPr>
          <w:sz w:val="30"/>
        </w:rPr>
        <w:t>of</w:t>
      </w:r>
      <w:r>
        <w:rPr>
          <w:sz w:val="30"/>
        </w:rPr>
        <w:t>the</w:t>
      </w:r>
      <w:r>
        <w:rPr>
          <w:sz w:val="30"/>
        </w:rPr>
        <w:t>cases</w:t>
      </w:r>
      <w:r>
        <w:rPr>
          <w:sz w:val="30"/>
        </w:rPr>
        <w:t>[1,</w:t>
      </w:r>
      <w:r>
        <w:rPr>
          <w:sz w:val="30"/>
        </w:rPr>
        <w:t>8,</w:t>
      </w:r>
      <w:r>
        <w:rPr>
          <w:sz w:val="30"/>
        </w:rPr>
        <w:t>9].</w:t>
      </w:r>
      <w:r>
        <w:rPr>
          <w:sz w:val="30"/>
        </w:rPr>
        <w:t>Most</w:t>
      </w:r>
      <w:r>
        <w:rPr>
          <w:sz w:val="30"/>
        </w:rPr>
        <w:t>common</w:t>
      </w:r>
      <w:r>
        <w:rPr>
          <w:sz w:val="30"/>
        </w:rPr>
        <w:t>extra</w:t>
      </w:r>
      <w:r>
        <w:rPr>
          <w:sz w:val="30"/>
        </w:rPr>
        <w:t>nodal</w:t>
      </w:r>
      <w:r>
        <w:rPr>
          <w:sz w:val="30"/>
        </w:rPr>
        <w:t>site</w:t>
      </w:r>
      <w:r>
        <w:rPr>
          <w:sz w:val="30"/>
        </w:rPr>
        <w:t xml:space="preserve">is </w:t>
      </w:r>
      <w:r>
        <w:rPr>
          <w:sz w:val="29"/>
        </w:rPr>
        <w:t>gastrointestinal [1, 2]. Occurrence of NHL in Waldeyer’s region is 16–43% [3–5].</w:t>
      </w:r>
    </w:p>
    <w:p>
      <w:pPr>
        <w:pStyle w:val="style179"/>
        <w:numPr>
          <w:ilvl w:val="0"/>
          <w:numId w:val="1"/>
        </w:numPr>
        <w:tabs>
          <w:tab w:val="left" w:leader="none" w:pos="982"/>
          <w:tab w:val="left" w:leader="none" w:pos="983"/>
        </w:tabs>
        <w:spacing w:before="2" w:after="0" w:lineRule="auto" w:line="256"/>
        <w:ind w:left="982" w:right="1004" w:hanging="447"/>
        <w:jc w:val="left"/>
        <w:rPr>
          <w:sz w:val="29"/>
        </w:rPr>
      </w:pPr>
      <w:r>
        <w:rPr>
          <w:sz w:val="29"/>
        </w:rPr>
        <w:t xml:space="preserve">Most frequently affected sites in Head and Neck region </w:t>
      </w:r>
      <w:r>
        <w:rPr>
          <w:sz w:val="29"/>
        </w:rPr>
        <w:t>are</w:t>
      </w:r>
      <w:r>
        <w:rPr>
          <w:sz w:val="29"/>
        </w:rPr>
        <w:t>tonsils, base of tongue and nasopharynx[5,6].</w:t>
      </w:r>
    </w:p>
    <w:p>
      <w:pPr>
        <w:pStyle w:val="style179"/>
        <w:numPr>
          <w:ilvl w:val="0"/>
          <w:numId w:val="1"/>
        </w:numPr>
        <w:tabs>
          <w:tab w:val="left" w:leader="none" w:pos="982"/>
          <w:tab w:val="left" w:leader="none" w:pos="983"/>
        </w:tabs>
        <w:spacing w:before="0" w:after="0" w:lineRule="auto" w:line="256"/>
        <w:ind w:left="982" w:right="1285" w:hanging="447"/>
        <w:jc w:val="left"/>
        <w:rPr>
          <w:sz w:val="29"/>
        </w:rPr>
      </w:pPr>
      <w:r>
        <w:rPr>
          <w:sz w:val="29"/>
        </w:rPr>
        <w:t>In our case report clinical presentation of the patient was nasal blockage, snoring and</w:t>
      </w:r>
      <w:r>
        <w:rPr>
          <w:sz w:val="29"/>
        </w:rPr>
        <w:t>rhinorrhea since</w:t>
      </w:r>
      <w:r>
        <w:rPr>
          <w:sz w:val="29"/>
          <w:lang w:val="en-US"/>
        </w:rPr>
        <w:t xml:space="preserve"> </w:t>
      </w:r>
      <w:r>
        <w:rPr>
          <w:sz w:val="29"/>
        </w:rPr>
        <w:t>1year.</w:t>
      </w:r>
    </w:p>
    <w:p>
      <w:pPr>
        <w:pStyle w:val="style179"/>
        <w:numPr>
          <w:ilvl w:val="0"/>
          <w:numId w:val="1"/>
        </w:numPr>
        <w:tabs>
          <w:tab w:val="left" w:leader="none" w:pos="982"/>
          <w:tab w:val="left" w:leader="none" w:pos="983"/>
        </w:tabs>
        <w:spacing w:before="0" w:after="0" w:lineRule="auto" w:line="256"/>
        <w:ind w:left="982" w:right="1147" w:hanging="447"/>
        <w:jc w:val="left"/>
        <w:rPr>
          <w:sz w:val="29"/>
        </w:rPr>
      </w:pPr>
      <w:r>
        <w:rPr>
          <w:sz w:val="29"/>
        </w:rPr>
        <w:t>Immunohistochemistry plays a vital role in differentiating both conditions [10, 11].</w:t>
      </w:r>
    </w:p>
    <w:p>
      <w:pPr>
        <w:pStyle w:val="style0"/>
        <w:tabs>
          <w:tab w:val="left" w:leader="none" w:pos="2760"/>
        </w:tabs>
        <w:autoSpaceDE w:val="false"/>
        <w:autoSpaceDN w:val="false"/>
        <w:spacing w:lineRule="exact" w:line="329"/>
        <w:ind w:left="982" w:firstLine="0"/>
        <w:jc w:val="left"/>
        <w:rPr>
          <w:sz w:val="29"/>
        </w:rPr>
      </w:pPr>
      <w:r>
        <w:rPr>
          <w:sz w:val="29"/>
        </w:rPr>
        <w:t>MRI</w:t>
      </w:r>
      <w:r>
        <w:rPr>
          <w:sz w:val="29"/>
        </w:rPr>
        <w:t>,CECT</w:t>
      </w:r>
      <w:r>
        <w:rPr>
          <w:sz w:val="29"/>
        </w:rPr>
        <w:t>scan,</w:t>
      </w:r>
      <w:r>
        <w:rPr>
          <w:sz w:val="29"/>
        </w:rPr>
        <w:t>PET–CT</w:t>
      </w:r>
      <w:r>
        <w:rPr>
          <w:sz w:val="29"/>
        </w:rPr>
        <w:t>Scan</w:t>
      </w:r>
      <w:r>
        <w:rPr>
          <w:sz w:val="29"/>
        </w:rPr>
        <w:t>should</w:t>
      </w:r>
      <w:r>
        <w:rPr>
          <w:sz w:val="29"/>
        </w:rPr>
        <w:t>be</w:t>
      </w:r>
      <w:r>
        <w:rPr>
          <w:sz w:val="29"/>
        </w:rPr>
        <w:t>done</w:t>
      </w:r>
      <w:r>
        <w:rPr>
          <w:spacing w:val="-5"/>
          <w:sz w:val="29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9"/>
          <w:szCs w:val="22"/>
          <w:highlight w:val="none"/>
          <w:vertAlign w:val="baseline"/>
          <w:em w:val="none"/>
          <w:lang w:val="en-US" w:bidi="ar-SA" w:eastAsia="en-US"/>
        </w:rPr>
        <w:t>definitive</w:t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9"/>
          <w:szCs w:val="22"/>
          <w:highlight w:val="none"/>
          <w:vertAlign w:val="baseline"/>
          <w:em w:val="none"/>
          <w:lang w:val="en-US" w:bidi="ar-SA" w:eastAsia="en-US"/>
        </w:rPr>
        <w:t>diagnosis.</w:t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Treatment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modality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for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NNHL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Chemotherapy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(CHOP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Regimen)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Radiotherapy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[11–15]</w:t>
      </w:r>
    </w:p>
    <w:p>
      <w:pPr>
        <w:pStyle w:val="style179"/>
        <w:numPr>
          <w:ilvl w:val="0"/>
          <w:numId w:val="0"/>
        </w:numPr>
        <w:tabs>
          <w:tab w:val="left" w:leader="none" w:pos="1020"/>
          <w:tab w:val="left" w:leader="none" w:pos="1021"/>
        </w:tabs>
        <w:spacing w:before="0" w:after="0" w:lineRule="auto" w:line="240"/>
        <w:ind w:left="1020" w:right="0" w:firstLine="0"/>
        <w:jc w:val="left"/>
        <w:rPr>
          <w:sz w:val="29"/>
        </w:rPr>
      </w:pPr>
    </w:p>
    <w:p>
      <w:pPr>
        <w:pStyle w:val="style0"/>
        <w:autoSpaceDE w:val="false"/>
        <w:autoSpaceDN w:val="false"/>
        <w:spacing w:lineRule="auto" w:line="240"/>
        <w:jc w:val="left"/>
        <w:rPr/>
      </w:pPr>
      <w:r>
        <w:rPr/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6938400</wp:posOffset>
                </wp:positionH>
                <wp:positionV relativeFrom="page">
                  <wp:posOffset>5243055</wp:posOffset>
                </wp:positionV>
                <wp:extent cx="2289847" cy="320039"/>
                <wp:effectExtent l="0" t="0" r="0" b="0"/>
                <wp:wrapNone/>
                <wp:docPr id="104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89847" cy="320039"/>
                        </a:xfrm>
                        <a:prstGeom prst="rect"/>
                        <a:solidFill>
                          <a:srgbClr val="5b9bd4"/>
                        </a:solidFill>
                        <a:ln cmpd="sng" cap="flat" w="7880">
                          <a:solidFill>
                            <a:srgbClr val="41709c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4">
                        <w:txbxContent>
                          <w:p>
                            <w:pPr>
                              <w:pStyle w:val="style0"/>
                              <w:spacing w:before="45" w:after="0" w:lineRule="atLeast" w:line="446"/>
                              <w:ind w:left="460" w:right="0" w:rightChars="0" w:firstLine="0" w:firstLineChars="0"/>
                              <w:jc w:val="left"/>
                              <w:rPr/>
                            </w:pPr>
                            <w:r>
                              <w:rPr>
                                <w:rFonts w:ascii="Times New Roman" w:cs="Times New Roman" w:eastAsia="Times New Roman"/>
                                <w:b/>
                                <w:color w:val="ffffff"/>
                                <w:spacing w:val="-2"/>
                                <w:sz w:val="39"/>
                                <w:szCs w:val="39"/>
                              </w:rPr>
                              <w:t>CONCLUSION</w:t>
                            </w:r>
                          </w:p>
                        </w:txbxContent>
                      </wps:txbx>
                      <wps:bodyPr lIns="0" rIns="0" tIns="0" bIns="0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4" fillcolor="#5b9bd4" stroked="t" style="position:absolute;margin-left:546.33pt;margin-top:412.84pt;width:180.3pt;height:25.2pt;z-index:12;mso-position-horizontal-relative:page;mso-position-vertical-relative:page;mso-width-relative:page;mso-height-relative:page;mso-wrap-distance-left:0.0pt;mso-wrap-distance-right:0.0pt;visibility:visible;">
                <v:stroke joinstyle="miter" color="#41709c" weight="0.62pt"/>
                <v:fill/>
                <v:textbox inset="0.0pt,0.0pt,0.0pt,0.0pt">
                  <w:txbxContent>
                    <w:p>
                      <w:pPr>
                        <w:pStyle w:val="style0"/>
                        <w:spacing w:before="45" w:after="0" w:lineRule="atLeast" w:line="446"/>
                        <w:ind w:left="460" w:right="0" w:rightChars="0" w:firstLine="0" w:firstLineChars="0"/>
                        <w:jc w:val="left"/>
                        <w:rPr/>
                      </w:pPr>
                      <w:r>
                        <w:rPr>
                          <w:rFonts w:ascii="Times New Roman" w:cs="Times New Roman" w:eastAsia="Times New Roman"/>
                          <w:b/>
                          <w:color w:val="ffffff"/>
                          <w:spacing w:val="-2"/>
                          <w:sz w:val="39"/>
                          <w:szCs w:val="39"/>
                        </w:rPr>
                        <w:t>CONCLUSION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autoSpaceDE w:val="false"/>
        <w:autoSpaceDN w:val="false"/>
        <w:spacing w:before="212" w:lineRule="auto" w:line="256"/>
        <w:ind w:left="89" w:right="328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</w:pPr>
    </w:p>
    <w:p>
      <w:pPr>
        <w:pStyle w:val="style0"/>
        <w:autoSpaceDE w:val="false"/>
        <w:autoSpaceDN w:val="false"/>
        <w:spacing w:before="212" w:lineRule="auto" w:line="256"/>
        <w:ind w:left="89" w:right="328" w:firstLine="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Nasopharyngeal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NHL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originating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Head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Neck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region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represent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diverse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group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diseases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with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varying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natural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history,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clinical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presentation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response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treatment.</w:t>
      </w:r>
    </w:p>
    <w:p>
      <w:pPr>
        <w:pStyle w:val="style0"/>
        <w:autoSpaceDE w:val="false"/>
        <w:autoSpaceDN w:val="false"/>
        <w:spacing w:before="2" w:lineRule="auto" w:line="256"/>
        <w:ind w:left="89" w:right="410" w:firstLine="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Very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few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case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reports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have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been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reported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literature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most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studies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cell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lymphoma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subtype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has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been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demonstrated.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IHC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plays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vital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role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differentiating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between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NNHL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nasopharyngeal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carcinoma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help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treatment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planning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.Early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diagnosis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treatment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will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help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improving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prognosis</w:t>
      </w:r>
      <w:r>
        <w:rPr/>
        <w:pict>
          <v:shape id="1045" type="#_x0000_t202" fillcolor="#5b9bd4" style="position:absolute;margin-left:526.2pt;margin-top:637.85pt;width:195.04pt;height:24.95pt;z-index:-2147483632;mso-position-horizontal-relative:page;mso-position-vertical-relative:page;mso-width-relative:page;mso-height-relative:page;mso-wrap-distance-left:0.0pt;mso-wrap-distance-right:0.0pt;visibility:visible;">
            <v:stroke joinstyle="miter" color="#41709c" weight="0.62pt"/>
            <w10:wrap type="topAndBottom"/>
            <v:fill/>
            <v:path o:connecttype="rect" gradientshapeok="t"/>
            <v:textbox inset="0.0pt,0.0pt,0.0pt,0.0pt" style="mso-fit-text-to-shape:true;">
              <w:txbxContent>
                <w:p>
                  <w:pPr>
                    <w:pStyle w:val="style0"/>
                    <w:spacing w:before="25"/>
                    <w:ind w:left="769" w:right="0" w:firstLine="0"/>
                    <w:jc w:val="left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fffff"/>
                      <w:spacing w:val="-2"/>
                      <w:sz w:val="39"/>
                    </w:rPr>
                    <w:t>REFERENCES</w:t>
                  </w:r>
                </w:p>
              </w:txbxContent>
            </v:textbox>
          </v:shape>
        </w:pic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treatment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outcomes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9"/>
          <w:szCs w:val="22"/>
          <w:highlight w:val="none"/>
          <w:vertAlign w:val="baseline"/>
          <w:em w:val="none"/>
          <w:lang w:val="en-US" w:bidi="ar-SA" w:eastAsia="en-US"/>
        </w:rPr>
        <w:t>patients.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156" w:lineRule="auto" w:line="253"/>
        <w:ind w:left="99" w:right="289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US" w:bidi="ar-SA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.Newton R, Ferlay J, Beral V, Devesa SS. The epidemiology of non-Hodgkin's lymphoma: comparison of nodal and extra-nodal sites. Int J Cancer. 1997;72(6):923–930. doi: 10.1002/(SICI)1097-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0215(19970917)72:6&amp;#x0003c;923::AID</w:t>
      </w:r>
    </w:p>
    <w:p>
      <w:pPr>
        <w:pStyle w:val="style0"/>
        <w:autoSpaceDE w:val="false"/>
        <w:autoSpaceDN w:val="false"/>
        <w:spacing w:before="5" w:lineRule="auto" w:line="240"/>
        <w:ind w:left="99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IJC1&amp;#x0003e;3.0.CO;2-R.[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"https://pubmed.ncbi.nlm.nih.gov/9378552/"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Int%20J%20Cancer&amp;title=The%20epidemiology%20of%20non-Hodgkin%27s%20lymphoma%3A%20comparison%20of%20nodal%20and%20extra-nodal%20sites&amp;author=R%20Newton&amp;author=J%20Ferlay&amp;author=V%20Beral&amp;author=SS%20Devesa&amp;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pacing w:val="-2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Scholar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0" w:lineRule="auto" w:line="253"/>
        <w:ind w:left="99" w:right="177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2.DePeña CA, Van Tassel P, Lee YY. Lymphoma of the head and neck. Radiol Clin N Am. 1990;28(4):723–743. doi:10.1016/S0033-8389(22)01257-X. 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"https://doi.org/10.1016/S0033-8389(22)01257-X"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"https://pubmed.ncbi.nlm.nih.gov/2190267/"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Radiol%20Clin%20N%20Am&amp;title=Lymphoma%20of%20the%20head%20and%20neck&amp;author=CA%20DePe%C3%B1a&amp;author=P%20Van%20Tassel&amp;author=YY%20Lee&amp;volume=28&amp;issue=4&amp;publication_year=1990&amp;pages=723-743&amp;pmid=2190267&amp;doi=1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 Scholar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4" w:lineRule="auto" w:line="253"/>
        <w:ind w:left="99" w:right="616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3.Jacobs C, Hoppe RT. Non-Hodgkin's lymphomas of head and neck extranodal sites. Int J Radiat Oncol Biol Phys.1985;11(2):357–64. doi: 10.1016/0360-3016(85)90158-</w:t>
      </w:r>
    </w:p>
    <w:p>
      <w:pPr>
        <w:pStyle w:val="style0"/>
        <w:autoSpaceDE w:val="false"/>
        <w:autoSpaceDN w:val="false"/>
        <w:spacing w:before="4" w:lineRule="auto" w:line="240"/>
        <w:ind w:left="99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0.[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"https://doi.org/10.1016/0360-3016(85)90158-0"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"https://pubmed.ncbi.nlm.nih.gov/3882644/"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Int%20J%20Radiat%20Oncol%20Biol%20Phys&amp;title=Non-Hodgkin%27s%20lymphomas%20of%20head%20and%20neck%20extranodal%20sites&amp;author=C%20Jacobs&amp;author=RT%20Hoppe&amp;volume=11&amp;issue=2&amp;publication_year=1985&amp;pages=357-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pacing w:val="-2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Scholar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0" w:lineRule="auto" w:line="253"/>
        <w:ind w:left="99" w:right="628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 xml:space="preserve">4.Freeman C, Berg JW, Cutler SJ. Occurrence and prognosis of extranodal lymphomas. Cancer. 1972;29(1):252–260. doi: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 xml:space="preserve">10.1002/1097-0142(197201)29:1&amp;#x0003c;252::AID-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CNCR2820290138&amp;#x0003e;3.0.CO;2-#. 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"https://pubmed.ncbi.nlm.nih.gov/5007387/"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autoSpaceDE w:val="false"/>
        <w:autoSpaceDN w:val="false"/>
        <w:spacing w:before="6" w:lineRule="auto" w:line="240"/>
        <w:ind w:left="99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Cancer&amp;title=Occurrence%20and%20prognosis%20of%20extranodal%20lymphomas&amp;author=C%20Freeman&amp;author=JW%20Berg&amp;author=SJ%20Cutler&amp;volume=29&amp;issue=1&amp;publication_year=1972&amp;pages=252-260&amp;pmid=5007387&amp;doi=10.1002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pacing w:val="-2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Scholar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0" w:lineRule="auto" w:line="253"/>
        <w:ind w:left="99" w:right="339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5.Saul SH, Kapadia SB. Primary lymphoma of waldeyer's ring clinicopathologic study of 68 cases. Cancer. 1985;56(1):157–166. doi: 10.1002/1097-0142(19850701)56:1&amp;#x0003c;157::AID- CNCR2820560125&amp;#x0003e;3.0.CO;2-X. 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"https://pubmed.ncbi.nlm.nih.gov/3891063/"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autoSpaceDE w:val="false"/>
        <w:autoSpaceDN w:val="false"/>
        <w:spacing w:before="5" w:lineRule="auto" w:line="240"/>
        <w:ind w:left="99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[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Cancer&amp;title=Primary%20lymphoma%20of%20waldeyer%27s%20ring%20clinicopathologic%20study%20of%2068%20cases&amp;author=SH%20Saul&amp;author=SB%20Kapadia&amp;volume=56&amp;issue=1&amp;publication_year=1985&amp;pages=157-166&amp;pmid=3891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pacing w:val="-2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Scholar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1" w:lineRule="auto" w:line="253"/>
        <w:ind w:left="99" w:right="180" w:firstLine="0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6.Kemp S, Gallagher G, Kabani S, Noonan V, O’Hara C. Oral non- Hodgkin’s lymphoma: review of the literature and world health organization classification with reference to 40 cases. Oral Surg Oral Med Oral Pathol Oral Radiol Endodontol. 2008;105(2):194–</w:t>
      </w:r>
    </w:p>
    <w:p>
      <w:pPr>
        <w:pStyle w:val="style0"/>
        <w:autoSpaceDE w:val="false"/>
        <w:autoSpaceDN w:val="false"/>
        <w:spacing w:before="5" w:lineRule="auto" w:line="253"/>
        <w:ind w:left="99"/>
        <w:jc w:val="left"/>
        <w:rPr>
          <w:b w:val="false"/>
          <w:bCs w:val="false"/>
          <w:sz w:val="20"/>
          <w:szCs w:val="20"/>
          <w:highlight w:val="none"/>
          <w:u w:val="single"/>
        </w:rPr>
      </w:pP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"https://scholar.google.com/scholar_lookup?journal=Oral%20Surg%20Oral%20Med%20Oral%20Pathol%20Oral%20Radiol%20Endodontol&amp;title=Oral%20non-Hodgkin%E2%80%99s%20lymphoma%3A%20review%20of%20the%20literature%20and%20world%20health%20organization%20classificatio"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201. doi: 10.1016/j.tripleo.2007.02.019. 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DOI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PubMed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 [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Google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pacing w:val="-2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Scholar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]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7.Kwong YL, et al. CD56+ NK lymphomas: clinicopathological features and prognosis. Br J Haematol. 1997;97(4):821–829. doi: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begin"/>
      </w:r>
      <w:r>
        <w:rPr>
          <w:b w:val="false"/>
          <w:bCs w:val="false"/>
          <w:sz w:val="20"/>
          <w:szCs w:val="20"/>
          <w:highlight w:val="none"/>
          <w:u w:val="single"/>
        </w:rPr>
        <w:instrText xml:space="preserve"> HYPERLINK "https://scholar.google.com/scholar_lookup?journal=Br%20J%20Haematol&amp;title=CD56%2B%20NK%20lymphomas%3A%20clinicopathological%20features%20and%20prognosis&amp;author=YL%20Kwong&amp;volume=97&amp;issue=4&amp;publication_year=1997&amp;pages=821-829&amp;pmid=9217183&amp;doi=10.1046/j.136" </w:instrTex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10.1046/j.1365-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8.Lu P. Staging and classification of lymphoma. Semin Nucl Med. 2005;35(3):160–164. doi: 10.1053/j.semnuclmed.2005.02.002.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9.Smith A, Crouch S, Lax S, Li J, Painter D, Howell D, Patmore R, Jack A, Roman E. Lymphoma incidence, survival and prevalence 2004–2014: sub-type analyses from the UK’s Haematological Malignancy research network. Br J Cancer. 2015;112(9):1575–1584. doi: 10.1038/bjc.2015.94. [DOI] [PMC free article]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10.Frierson JRHF, Mills SE, Innes JRDJ. Non-Hodgkin's lymphomas of the sinonasal region: histologic subtypes and their clinicopathologic features. Am J Clin Pathol. 1984;81(6):721–727. doi: 10.1093/ajcp/81.6.721.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11.Yamanaka N, Harabuchi Y, Sambe S, Shido F, Matsuda F, Kataura A, Ishii Y, Kikuchi K. Non-Hodgkin's lymphoma of Waldeyer's ring and nasal cavity. Clin Immunol Asp Cancer. 1985;56(4):768–776. doi: 10.1002/1097-0142(19850815)56:4&lt;768::aid-cncr2820560412&gt;3.0.co;2-w.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12.Duncavage JA, Campbell BH, Kun LE, Toohill RJ, Hanson GA, Hansen RM, Malin TC. Diagnosis of malignant lymphomas of the nasal cavity, paranasal sinuses and nasopharynx. Laryngoscope. 1983;93(10):1276–1280. doi: 10.1002/lary.1983.93.10.1276.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13.Ye YL, Zhou MH, Lu XY, Dai YR, Wu WX. Nasopharyngeal and nasal malignant lymphoma: a clinicopathological study of 54 cases. Histopathology. 1992;20(6):511–516. doi: 10.1111/j.1365-2559.1992.tb01036.x.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14.Khong PL, Pang CB, Liang R, Kwong YL, Au WY. Fluorine-18 fluorodeoxyglucose positron emission tomography in mature T-cell and natural killer cell malignancies. Ann Hematol. 2008;87:613–621. doi: 10.1007/s00277-008-0494-8.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 w:firstLine="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>15.Chan WK, Au WY, Wong CY, Liang R, Leung AY, Kwong YL, Khong PL. Metabolic activity measured by F-18 FDG PET in natural killer-cell lymphoma compared to aggressive B-and T-cell lymphomas. Clin Nucl Med. 2010;35(8):571–575. doi: 10.1097/RLU.0b013e3181e4dcbf. [DOI] [PubMed] [Google Scholar]</w:t>
      </w:r>
    </w:p>
    <w:p>
      <w:pPr>
        <w:pStyle w:val="style0"/>
        <w:tabs>
          <w:tab w:val="left" w:leader="none" w:pos="300"/>
        </w:tabs>
        <w:autoSpaceDE w:val="false"/>
        <w:autoSpaceDN w:val="false"/>
        <w:spacing w:before="2" w:lineRule="auto" w:line="253"/>
        <w:ind w:left="99" w:right="416"/>
        <w:jc w:val="left"/>
        <w:rPr>
          <w:rFonts w:ascii="Calibri"/>
          <w:sz w:val="3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u w:val="single"/>
          <w:vertAlign w:val="baseline"/>
          <w:em w:val="none"/>
          <w:lang w:val="en-US" w:bidi="ar-SA" w:eastAsia="en-US"/>
        </w:rPr>
        <w:t xml:space="preserve">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0"/>
          <w:szCs w:val="20"/>
          <w:highlight w:val="none"/>
          <w:u w:val="single" w:color="0462c1"/>
          <w:vertAlign w:val="baseline"/>
          <w:em w:val="none"/>
          <w:lang w:val="en-US" w:bidi="ar-SA" w:eastAsia="en-US"/>
        </w:rPr>
        <w:t>e</w:t>
      </w:r>
      <w:r>
        <w:rPr>
          <w:b w:val="false"/>
          <w:bCs w:val="false"/>
          <w:sz w:val="20"/>
          <w:szCs w:val="20"/>
          <w:highlight w:val="none"/>
          <w:u w:val="single"/>
        </w:rPr>
        <w:fldChar w:fldCharType="end"/>
      </w:r>
      <w:r>
        <w:rPr>
          <w:b w:val="false"/>
          <w:bCs w:val="false"/>
          <w:u w:val="single"/>
        </w:rPr>
        <w:fldChar w:fldCharType="begin"/>
      </w:r>
      <w:r>
        <w:rPr>
          <w:b w:val="false"/>
          <w:bCs w:val="false"/>
          <w:u w:val="single"/>
        </w:rPr>
        <w:instrText xml:space="preserve"> HYPERLINK "https://scholar.google.com/scholar_lookup?journal=Br%20J%20Haematol&amp;title=CD56%2B%20NK%20lymphomas%3A%20clinicopathological%20features%20and%20prognosis&amp;author=YL%20Kwong&amp;volume=97&amp;issue=4&amp;publication_year=1997&amp;pages=821-829&amp;pmid=9217183&amp;doi=10.1046/j.136" </w:instrText>
      </w:r>
      <w:r>
        <w:rPr>
          <w:b w:val="false"/>
          <w:bCs w:val="false"/>
          <w:u w:val="single"/>
        </w:rPr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sz w:val="28"/>
          <w:szCs w:val="28"/>
          <w:highlight w:val="none"/>
          <w:u w:val="single"/>
          <w:vertAlign w:val="baseline"/>
          <w:em w:val="none"/>
          <w:lang w:val="en-US" w:bidi="ar-SA" w:eastAsia="en-US"/>
        </w:rPr>
        <w:t>]</w:t>
      </w:r>
      <w:r>
        <w:rPr>
          <w:b w:val="false"/>
          <w:bCs w:val="false"/>
          <w:u w:val="single"/>
        </w:rPr>
        <w:fldChar w:fldCharType="end"/>
      </w:r>
      <w:r>
        <w:br w:type="column"/>
      </w:r>
      <w:r>
        <w:rPr>
          <w:rFonts w:ascii="Calibri"/>
          <w:color w:val="ffffff"/>
          <w:sz w:val="34"/>
        </w:rPr>
        <w:t>DR.POO</w:t>
      </w:r>
    </w:p>
    <w:p>
      <w:pPr>
        <w:pStyle w:val="style66"/>
        <w:spacing w:before="26" w:lineRule="auto" w:line="253"/>
        <w:ind w:left="536" w:right="180"/>
        <w:rPr/>
      </w:pPr>
    </w:p>
    <w:sectPr>
      <w:type w:val="continuous"/>
      <w:pgSz w:w="17590" w:h="31660" w:orient="portrait"/>
      <w:pgMar w:top="0" w:right="0" w:bottom="0" w:left="0" w:header="720" w:footer="720" w:gutter="0"/>
      <w:cols w:equalWidth="0" w:num="2">
        <w:col w:w="7812" w:space="1383"/>
        <w:col w:w="83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2"/>
      <w:numFmt w:val="decimal"/>
      <w:lvlText w:val="%1."/>
      <w:lvlJc w:val="left"/>
      <w:pPr>
        <w:ind w:left="99" w:hanging="359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2"/>
        <w:sz w:val="26"/>
        <w:szCs w:val="26"/>
        <w:lang w:val="en-US" w:bidi="ar-SA" w:eastAsia="en-US"/>
      </w:rPr>
    </w:lvl>
    <w:lvl w:ilvl="1">
      <w:start w:val="0"/>
      <w:numFmt w:val="bullet"/>
      <w:lvlText w:val="•"/>
      <w:lvlJc w:val="left"/>
      <w:pPr>
        <w:ind w:left="982" w:hanging="516"/>
      </w:pPr>
      <w:rPr>
        <w:rFonts w:ascii="Arial" w:cs="Arial" w:eastAsia="Arial" w:hAnsi="Arial" w:hint="default"/>
        <w:b w:val="false"/>
        <w:bCs w:val="false"/>
        <w:i w:val="false"/>
        <w:iCs w:val="false"/>
        <w:w w:val="102"/>
        <w:sz w:val="29"/>
        <w:szCs w:val="29"/>
        <w:lang w:val="en-US" w:bidi="ar-SA" w:eastAsia="en-US"/>
      </w:rPr>
    </w:lvl>
    <w:lvl w:ilvl="2">
      <w:start w:val="0"/>
      <w:numFmt w:val="bullet"/>
      <w:lvlText w:val="•"/>
      <w:lvlJc w:val="left"/>
      <w:pPr>
        <w:ind w:left="668" w:hanging="516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57" w:hanging="516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6" w:hanging="516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-265" w:hanging="516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-576" w:hanging="516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-887" w:hanging="516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-1199" w:hanging="516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99" w:hanging="216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102"/>
        <w:sz w:val="26"/>
        <w:szCs w:val="26"/>
        <w:lang w:val="en-US" w:bidi="ar-SA" w:eastAsia="en-US"/>
      </w:rPr>
    </w:lvl>
    <w:lvl w:ilvl="1">
      <w:start w:val="0"/>
      <w:numFmt w:val="bullet"/>
      <w:lvlText w:val="•"/>
      <w:lvlJc w:val="left"/>
      <w:pPr>
        <w:ind w:left="885" w:hanging="216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671" w:hanging="216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457" w:hanging="216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243" w:hanging="216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028" w:hanging="216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4814" w:hanging="216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5600" w:hanging="216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6386" w:hanging="216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FFFFFFF"/>
    <w:lvl w:ilvl="0">
      <w:start w:val="0"/>
      <w:numFmt w:val="bullet"/>
      <w:lvlText w:val="•"/>
      <w:lvlJc w:val="left"/>
      <w:pPr>
        <w:ind w:left="989" w:hanging="447"/>
      </w:pPr>
      <w:rPr>
        <w:rFonts w:ascii="Arial" w:cs="Arial" w:eastAsia="Arial" w:hAnsi="Arial" w:hint="default"/>
        <w:b w:val="false"/>
        <w:bCs w:val="false"/>
        <w:i w:val="false"/>
        <w:iCs w:val="false"/>
        <w:w w:val="102"/>
        <w:sz w:val="29"/>
        <w:szCs w:val="2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287" w:hanging="336"/>
      </w:pPr>
      <w:rPr>
        <w:rFonts w:ascii="Arial" w:cs="Arial" w:eastAsia="Arial" w:hAnsi="Arial" w:hint="default"/>
        <w:b w:val="false"/>
        <w:bCs w:val="false"/>
        <w:i w:val="false"/>
        <w:iCs w:val="false"/>
        <w:w w:val="102"/>
        <w:sz w:val="29"/>
        <w:szCs w:val="29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39" w:hanging="336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99" w:hanging="336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58" w:hanging="336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718" w:hanging="336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577" w:hanging="336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437" w:hanging="336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296" w:hanging="336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784"/>
      <w:outlineLvl w:val="1"/>
    </w:pPr>
    <w:rPr>
      <w:rFonts w:ascii="Times New Roman" w:cs="Times New Roman" w:eastAsia="Times New Roman" w:hAnsi="Times New Roman"/>
      <w:b/>
      <w:bCs/>
      <w:sz w:val="29"/>
      <w:szCs w:val="29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9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773</Words>
  <Characters>5462</Characters>
  <Application>WPS Office</Application>
  <DocSecurity>0</DocSecurity>
  <Paragraphs>94</Paragraphs>
  <ScaleCrop>false</ScaleCrop>
  <LinksUpToDate>false</LinksUpToDate>
  <CharactersWithSpaces>6237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2025-11-14T17:35:19Z</dcterms:created>
  <dc:creator>WPS Office</dc:creator>
  <lastModifiedBy>24090RA29I</lastModifiedBy>
  <dcterms:modified xsi:type="dcterms:W3CDTF">2025-11-14T11:43:54Z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PowerPoint® LTSC</vt:lpwstr>
  </property>
  <property fmtid="{D5CDD505-2E9C-101B-9397-08002B2CF9AE}" pid="6" name="ICV">
    <vt:lpwstr>a770c8a1575b4deba4914d3eab0ee5dc</vt:lpwstr>
  </property>
</Properties>
</file>