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E848E" w14:textId="77777777" w:rsidR="00521D8E" w:rsidRPr="00521D8E" w:rsidRDefault="00521D8E" w:rsidP="00521D8E">
      <w:pPr>
        <w:rPr>
          <w:rFonts w:ascii="Times New Roman" w:hAnsi="Times New Roman" w:cs="Times New Roman"/>
        </w:rPr>
      </w:pPr>
      <w:r w:rsidRPr="00521D8E">
        <w:rPr>
          <w:rFonts w:ascii="Times New Roman" w:hAnsi="Times New Roman" w:cs="Times New Roman"/>
          <w:b/>
          <w:bCs/>
        </w:rPr>
        <w:t>Comparative CT and Quantitative Endoscopic Evaluation of Eosinophilic and Non-Eosinophilic Chronic Rhinosinusitis: A Prospective Study</w:t>
      </w:r>
    </w:p>
    <w:p w14:paraId="4C3042AE" w14:textId="77777777" w:rsidR="00521D8E" w:rsidRPr="00521D8E" w:rsidRDefault="00521D8E" w:rsidP="00521D8E">
      <w:pPr>
        <w:rPr>
          <w:rFonts w:ascii="Times New Roman" w:hAnsi="Times New Roman" w:cs="Times New Roman"/>
        </w:rPr>
      </w:pPr>
      <w:r w:rsidRPr="00521D8E">
        <w:rPr>
          <w:rFonts w:ascii="Times New Roman" w:hAnsi="Times New Roman" w:cs="Times New Roman"/>
          <w:b/>
          <w:bCs/>
        </w:rPr>
        <w:t>Presenting Author:</w:t>
      </w:r>
      <w:r w:rsidRPr="00521D8E">
        <w:rPr>
          <w:rFonts w:ascii="Times New Roman" w:hAnsi="Times New Roman" w:cs="Times New Roman"/>
        </w:rPr>
        <w:t xml:space="preserve"> Dr. </w:t>
      </w:r>
      <w:proofErr w:type="spellStart"/>
      <w:r w:rsidRPr="00521D8E">
        <w:rPr>
          <w:rFonts w:ascii="Times New Roman" w:hAnsi="Times New Roman" w:cs="Times New Roman"/>
        </w:rPr>
        <w:t>Dhivyanka</w:t>
      </w:r>
      <w:proofErr w:type="spellEnd"/>
      <w:r w:rsidRPr="00521D8E">
        <w:rPr>
          <w:rFonts w:ascii="Times New Roman" w:hAnsi="Times New Roman" w:cs="Times New Roman"/>
        </w:rPr>
        <w:t xml:space="preserve"> M</w:t>
      </w:r>
    </w:p>
    <w:p w14:paraId="727AFA3B" w14:textId="77777777" w:rsidR="00521D8E" w:rsidRPr="00521D8E" w:rsidRDefault="00521D8E" w:rsidP="00521D8E">
      <w:pPr>
        <w:rPr>
          <w:rFonts w:ascii="Times New Roman" w:hAnsi="Times New Roman" w:cs="Times New Roman"/>
        </w:rPr>
      </w:pPr>
      <w:r w:rsidRPr="00521D8E">
        <w:rPr>
          <w:rFonts w:ascii="Times New Roman" w:hAnsi="Times New Roman" w:cs="Times New Roman"/>
          <w:b/>
          <w:bCs/>
        </w:rPr>
        <w:t>Aim:</w:t>
      </w:r>
      <w:r w:rsidRPr="00521D8E">
        <w:rPr>
          <w:rFonts w:ascii="Times New Roman" w:hAnsi="Times New Roman" w:cs="Times New Roman"/>
        </w:rPr>
        <w:t xml:space="preserve"> Chronic rhinosinusitis (CRS) is an inflammatory disease of the nasal and paranasal mucosa. Differentiating eosinophilic (ECRS) from non-eosinophilic CRS (NECRS) is essential due to variations in severity, recurrence, and treatment response.</w:t>
      </w:r>
    </w:p>
    <w:p w14:paraId="72DE8E49" w14:textId="77777777" w:rsidR="00521D8E" w:rsidRPr="00521D8E" w:rsidRDefault="00521D8E" w:rsidP="00521D8E">
      <w:pPr>
        <w:rPr>
          <w:rFonts w:ascii="Times New Roman" w:hAnsi="Times New Roman" w:cs="Times New Roman"/>
        </w:rPr>
      </w:pPr>
      <w:r w:rsidRPr="00521D8E">
        <w:rPr>
          <w:rFonts w:ascii="Times New Roman" w:hAnsi="Times New Roman" w:cs="Times New Roman"/>
          <w:b/>
          <w:bCs/>
        </w:rPr>
        <w:t>Objective:</w:t>
      </w:r>
      <w:r w:rsidRPr="00521D8E">
        <w:rPr>
          <w:rFonts w:ascii="Times New Roman" w:hAnsi="Times New Roman" w:cs="Times New Roman"/>
        </w:rPr>
        <w:t xml:space="preserve"> To compare radiological and endoscopic severity of ECRS and NECRS using Lund–Mackay and Lund–Kennedy scoring systems.</w:t>
      </w:r>
    </w:p>
    <w:p w14:paraId="5F05733D" w14:textId="77777777" w:rsidR="00521D8E" w:rsidRPr="00521D8E" w:rsidRDefault="00521D8E" w:rsidP="00521D8E">
      <w:pPr>
        <w:rPr>
          <w:rFonts w:ascii="Times New Roman" w:hAnsi="Times New Roman" w:cs="Times New Roman"/>
        </w:rPr>
      </w:pPr>
      <w:r w:rsidRPr="00521D8E">
        <w:rPr>
          <w:rFonts w:ascii="Times New Roman" w:hAnsi="Times New Roman" w:cs="Times New Roman"/>
          <w:b/>
          <w:bCs/>
        </w:rPr>
        <w:t>Methods:</w:t>
      </w:r>
      <w:r w:rsidRPr="00521D8E">
        <w:rPr>
          <w:rFonts w:ascii="Times New Roman" w:hAnsi="Times New Roman" w:cs="Times New Roman"/>
        </w:rPr>
        <w:t xml:space="preserve"> A prospective cross-sectional study of 48 CRS patients was conducted, classified into ECRS and NECRS based on nasal smear eosinophilia. CT paranasal sinuses were graded by the Lund–Mackay system, and diagnostic nasal endoscopy findings were scored using the Lund–Kennedy scale.</w:t>
      </w:r>
    </w:p>
    <w:p w14:paraId="6F22DA93" w14:textId="77777777" w:rsidR="00521D8E" w:rsidRPr="00521D8E" w:rsidRDefault="00521D8E" w:rsidP="00521D8E">
      <w:pPr>
        <w:rPr>
          <w:rFonts w:ascii="Times New Roman" w:hAnsi="Times New Roman" w:cs="Times New Roman"/>
        </w:rPr>
      </w:pPr>
      <w:r w:rsidRPr="00521D8E">
        <w:rPr>
          <w:rFonts w:ascii="Times New Roman" w:hAnsi="Times New Roman" w:cs="Times New Roman"/>
          <w:b/>
          <w:bCs/>
        </w:rPr>
        <w:t>Results:</w:t>
      </w:r>
      <w:r w:rsidRPr="00521D8E">
        <w:rPr>
          <w:rFonts w:ascii="Times New Roman" w:hAnsi="Times New Roman" w:cs="Times New Roman"/>
        </w:rPr>
        <w:t xml:space="preserve"> ECRS showed significantly higher mean Lund–Mackay (12.67 ± 3.25) and Lund–Kennedy (7.96 ± 2.23) scores compared to NECRS (6.42 ± 2.8 and 4.42 ± 1.97, respectively; p &lt; 0.001). Ethmoidal and </w:t>
      </w:r>
      <w:proofErr w:type="spellStart"/>
      <w:r w:rsidRPr="00521D8E">
        <w:rPr>
          <w:rFonts w:ascii="Times New Roman" w:hAnsi="Times New Roman" w:cs="Times New Roman"/>
        </w:rPr>
        <w:t>osteomeatal</w:t>
      </w:r>
      <w:proofErr w:type="spellEnd"/>
      <w:r w:rsidRPr="00521D8E">
        <w:rPr>
          <w:rFonts w:ascii="Times New Roman" w:hAnsi="Times New Roman" w:cs="Times New Roman"/>
        </w:rPr>
        <w:t xml:space="preserve"> complex opacification predominated in ECRS, while NECRS showed more maxillary involvement.</w:t>
      </w:r>
    </w:p>
    <w:p w14:paraId="27283D6E" w14:textId="77777777" w:rsidR="00521D8E" w:rsidRPr="00521D8E" w:rsidRDefault="00521D8E" w:rsidP="00521D8E">
      <w:pPr>
        <w:rPr>
          <w:rFonts w:ascii="Times New Roman" w:hAnsi="Times New Roman" w:cs="Times New Roman"/>
        </w:rPr>
      </w:pPr>
      <w:r w:rsidRPr="00521D8E">
        <w:rPr>
          <w:rFonts w:ascii="Times New Roman" w:hAnsi="Times New Roman" w:cs="Times New Roman"/>
          <w:b/>
          <w:bCs/>
        </w:rPr>
        <w:t>Conclusion:</w:t>
      </w:r>
      <w:r w:rsidRPr="00521D8E">
        <w:rPr>
          <w:rFonts w:ascii="Times New Roman" w:hAnsi="Times New Roman" w:cs="Times New Roman"/>
        </w:rPr>
        <w:t xml:space="preserve"> CT and endoscopic scoring reliably differentiate ECRS from NECRS. ECRS presents with greater sinus opacification and mucosal inflammation, emphasizing the role of quantitative imaging and endoscopic evaluation in CRS </w:t>
      </w:r>
      <w:proofErr w:type="spellStart"/>
      <w:r w:rsidRPr="00521D8E">
        <w:rPr>
          <w:rFonts w:ascii="Times New Roman" w:hAnsi="Times New Roman" w:cs="Times New Roman"/>
        </w:rPr>
        <w:t>endotyping</w:t>
      </w:r>
      <w:proofErr w:type="spellEnd"/>
      <w:r w:rsidRPr="00521D8E">
        <w:rPr>
          <w:rFonts w:ascii="Times New Roman" w:hAnsi="Times New Roman" w:cs="Times New Roman"/>
        </w:rPr>
        <w:t>.</w:t>
      </w:r>
    </w:p>
    <w:p w14:paraId="0D13E3B9" w14:textId="77777777" w:rsidR="00521D8E" w:rsidRPr="00521D8E" w:rsidRDefault="00521D8E">
      <w:pPr>
        <w:rPr>
          <w:rFonts w:ascii="Times New Roman" w:hAnsi="Times New Roman" w:cs="Times New Roman"/>
        </w:rPr>
      </w:pPr>
    </w:p>
    <w:sectPr w:rsidR="00521D8E" w:rsidRPr="00521D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D8E"/>
    <w:rsid w:val="004D63AB"/>
    <w:rsid w:val="00521D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6BD1C4"/>
  <w15:chartTrackingRefBased/>
  <w15:docId w15:val="{6C403915-AFE1-4544-9043-CD5B8ED1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1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1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1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1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1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1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D8E"/>
    <w:rPr>
      <w:rFonts w:eastAsiaTheme="majorEastAsia" w:cstheme="majorBidi"/>
      <w:color w:val="272727" w:themeColor="text1" w:themeTint="D8"/>
    </w:rPr>
  </w:style>
  <w:style w:type="paragraph" w:styleId="Title">
    <w:name w:val="Title"/>
    <w:basedOn w:val="Normal"/>
    <w:next w:val="Normal"/>
    <w:link w:val="TitleChar"/>
    <w:uiPriority w:val="10"/>
    <w:qFormat/>
    <w:rsid w:val="00521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D8E"/>
    <w:pPr>
      <w:spacing w:before="160"/>
      <w:jc w:val="center"/>
    </w:pPr>
    <w:rPr>
      <w:i/>
      <w:iCs/>
      <w:color w:val="404040" w:themeColor="text1" w:themeTint="BF"/>
    </w:rPr>
  </w:style>
  <w:style w:type="character" w:customStyle="1" w:styleId="QuoteChar">
    <w:name w:val="Quote Char"/>
    <w:basedOn w:val="DefaultParagraphFont"/>
    <w:link w:val="Quote"/>
    <w:uiPriority w:val="29"/>
    <w:rsid w:val="00521D8E"/>
    <w:rPr>
      <w:i/>
      <w:iCs/>
      <w:color w:val="404040" w:themeColor="text1" w:themeTint="BF"/>
    </w:rPr>
  </w:style>
  <w:style w:type="paragraph" w:styleId="ListParagraph">
    <w:name w:val="List Paragraph"/>
    <w:basedOn w:val="Normal"/>
    <w:uiPriority w:val="34"/>
    <w:qFormat/>
    <w:rsid w:val="00521D8E"/>
    <w:pPr>
      <w:ind w:left="720"/>
      <w:contextualSpacing/>
    </w:pPr>
  </w:style>
  <w:style w:type="character" w:styleId="IntenseEmphasis">
    <w:name w:val="Intense Emphasis"/>
    <w:basedOn w:val="DefaultParagraphFont"/>
    <w:uiPriority w:val="21"/>
    <w:qFormat/>
    <w:rsid w:val="00521D8E"/>
    <w:rPr>
      <w:i/>
      <w:iCs/>
      <w:color w:val="2F5496" w:themeColor="accent1" w:themeShade="BF"/>
    </w:rPr>
  </w:style>
  <w:style w:type="paragraph" w:styleId="IntenseQuote">
    <w:name w:val="Intense Quote"/>
    <w:basedOn w:val="Normal"/>
    <w:next w:val="Normal"/>
    <w:link w:val="IntenseQuoteChar"/>
    <w:uiPriority w:val="30"/>
    <w:qFormat/>
    <w:rsid w:val="00521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D8E"/>
    <w:rPr>
      <w:i/>
      <w:iCs/>
      <w:color w:val="2F5496" w:themeColor="accent1" w:themeShade="BF"/>
    </w:rPr>
  </w:style>
  <w:style w:type="character" w:styleId="IntenseReference">
    <w:name w:val="Intense Reference"/>
    <w:basedOn w:val="DefaultParagraphFont"/>
    <w:uiPriority w:val="32"/>
    <w:qFormat/>
    <w:rsid w:val="00521D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234664">
      <w:bodyDiv w:val="1"/>
      <w:marLeft w:val="0"/>
      <w:marRight w:val="0"/>
      <w:marTop w:val="0"/>
      <w:marBottom w:val="0"/>
      <w:divBdr>
        <w:top w:val="none" w:sz="0" w:space="0" w:color="auto"/>
        <w:left w:val="none" w:sz="0" w:space="0" w:color="auto"/>
        <w:bottom w:val="none" w:sz="0" w:space="0" w:color="auto"/>
        <w:right w:val="none" w:sz="0" w:space="0" w:color="auto"/>
      </w:divBdr>
    </w:div>
    <w:div w:id="1094013493">
      <w:bodyDiv w:val="1"/>
      <w:marLeft w:val="0"/>
      <w:marRight w:val="0"/>
      <w:marTop w:val="0"/>
      <w:marBottom w:val="0"/>
      <w:divBdr>
        <w:top w:val="none" w:sz="0" w:space="0" w:color="auto"/>
        <w:left w:val="none" w:sz="0" w:space="0" w:color="auto"/>
        <w:bottom w:val="none" w:sz="0" w:space="0" w:color="auto"/>
        <w:right w:val="none" w:sz="0" w:space="0" w:color="auto"/>
      </w:divBdr>
    </w:div>
    <w:div w:id="1256205250">
      <w:bodyDiv w:val="1"/>
      <w:marLeft w:val="0"/>
      <w:marRight w:val="0"/>
      <w:marTop w:val="0"/>
      <w:marBottom w:val="0"/>
      <w:divBdr>
        <w:top w:val="none" w:sz="0" w:space="0" w:color="auto"/>
        <w:left w:val="none" w:sz="0" w:space="0" w:color="auto"/>
        <w:bottom w:val="none" w:sz="0" w:space="0" w:color="auto"/>
        <w:right w:val="none" w:sz="0" w:space="0" w:color="auto"/>
      </w:divBdr>
    </w:div>
    <w:div w:id="1398044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189</Words>
  <Characters>1187</Characters>
  <Application>Microsoft Office Word</Application>
  <DocSecurity>0</DocSecurity>
  <Lines>21</Lines>
  <Paragraphs>8</Paragraphs>
  <ScaleCrop>false</ScaleCrop>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dhivyankamadan@gmail.com</dc:creator>
  <cp:keywords/>
  <dc:description/>
  <cp:lastModifiedBy>dhivyankamadan@gmail.com</cp:lastModifiedBy>
  <cp:revision>1</cp:revision>
  <dcterms:created xsi:type="dcterms:W3CDTF">2025-11-13T11:32:00Z</dcterms:created>
  <dcterms:modified xsi:type="dcterms:W3CDTF">2025-11-13T11:36:00Z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465f82df-9df5-4d41-b395-f215ac17b10b</vt:lpwstr>
  </property>
</Properties>
</file>