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792" w:before="225" w:after="225"/>
        <w:jc w:val="left"/>
        <w:rPr>
          <w:rFonts w:ascii="Oswald;Open Sans;Helvetica;Arial;Lucida Grande;Nimbus Sans L;sans-serif" w:hAnsi="Oswald;Open Sans;Helvetica;Arial;Lucida Grande;Nimbus Sans L;sans-serif"/>
          <w:b/>
          <w:color w:val="1C1C1C"/>
          <w:spacing w:val="0"/>
        </w:rPr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widowControl/>
        <w:bidi w:val="0"/>
        <w:spacing w:lineRule="auto" w:line="319" w:before="0" w:after="225"/>
        <w:ind w:left="0" w:right="0" w:hanging="0"/>
        <w:jc w:val="left"/>
        <w:rPr>
          <w:rFonts w:ascii="Open Sans;Helvetica;Arial;Lucida Grande;Nimbus Sans L;sans-serif" w:hAnsi="Open Sans;Helvetica;Arial;Lucida Grande;Nimbus Sans L;sans-serif" w:eastAsia="Open Sans;Helvetica;Arial;Lucida Grande;Nimbus Sans L;sans-serif" w:cs="Open Sans;Helvetica;Arial;Lucida Grande;Nimbus Sans 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3838"/>
          <w:spacing w:val="0"/>
          <w:sz w:val="24"/>
          <w:szCs w:val="24"/>
        </w:rPr>
      </w:pPr>
      <w:bookmarkStart w:id="0" w:name="block-menu-block-footer-menu-title"/>
      <w:bookmarkEnd w:id="0"/>
      <w:r>
        <w:rPr>
          <w:rFonts w:eastAsia="Open Sans;Helvetica;Arial;Lucida Grande;Nimbus Sans L;sans-serif" w:cs="Open Sans;Helvetica;Arial;Lucida Grande;Nimbus Sans L;sans-serif" w:ascii="Open Sans;Helvetica;Arial;Lucida Grande;Nimbus Sans L;sans-serif" w:hAnsi="Open Sans;Helvetica;Arial;Lucida Grande;Nimbus Sans L;sans-serif"/>
          <w:b w:val="false"/>
          <w:bCs w:val="false"/>
          <w:i w:val="false"/>
          <w:iCs w:val="false"/>
          <w:caps w:val="false"/>
          <w:smallCaps w:val="false"/>
          <w:color w:val="383838"/>
          <w:spacing w:val="0"/>
          <w:sz w:val="24"/>
          <w:szCs w:val="24"/>
        </w:rPr>
        <w:t>Corporate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7560310" cy="10692130"/>
                <wp:effectExtent l="0" t="0" r="0" b="0"/>
                <wp:wrapSquare wrapText="largest"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692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1"/>
                              <w:widowControl/>
                              <w:bidi w:val="0"/>
                              <w:spacing w:lineRule="auto" w:line="792" w:before="225" w:after="225"/>
                              <w:jc w:val="left"/>
                              <w:rPr/>
                            </w:pPr>
                            <w:r>
                              <w:rPr>
                                <w:rFonts w:ascii="Oswald;Open Sans;Helvetica;Arial;Lucida Grande;Nimbus Sans L;sans-serif" w:hAnsi="Oswald;Open Sans;Helvetica;Arial;Lucida Grande;Nimbus Sans L;sans-serif"/>
                                <w:b/>
                                <w:color w:val="1C1C1C"/>
                                <w:spacing w:val="0"/>
                                <w:highlight w:val="white"/>
                              </w:rPr>
                              <w:t>AUTOSAR Layered Architecture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highlight w:val="white"/>
                              </w:rPr>
                              <w:t>In AUTOSAR, software is componentized and application software reusability is improved. AUTOSAR's layered architecture and details of each layer are shown below.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drawing>
                                <wp:inline distT="0" distB="0" distL="0" distR="0">
                                  <wp:extent cx="5905500" cy="3429000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0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>AUTOSAR Layered Architecture</w:t>
                            </w:r>
                          </w:p>
                          <w:p>
                            <w:pPr>
                              <w:pStyle w:val="Heading2"/>
                              <w:bidi w:val="0"/>
                              <w:spacing w:lineRule="auto" w:line="576" w:before="0" w:after="375"/>
                              <w:jc w:val="left"/>
                              <w:rPr>
                                <w:rFonts w:ascii="Open Sans;Helvetica;Arial;Lucida Grande;Nimbus Sans L;sans-serif" w:hAnsi="Open Sans;Helvetica;Arial;Lucida Grande;Nimbus Sans L;sans-serif"/>
                                <w:b/>
                                <w:color w:val="1C1C1C"/>
                              </w:rPr>
                            </w:pPr>
                            <w:r>
                              <w:rPr>
                                <w:rFonts w:ascii="Open Sans;Helvetica;Arial;Lucida Grande;Nimbus Sans L;sans-serif" w:hAnsi="Open Sans;Helvetica;Arial;Lucida Grande;Nimbus Sans L;sans-serif"/>
                                <w:b/>
                                <w:color w:val="1C1C1C"/>
                              </w:rPr>
                              <w:t>Description of Layers</w:t>
                            </w:r>
                          </w:p>
                          <w:tbl>
                            <w:tblPr>
                              <w:tblW w:w="11906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225" w:type="dxa"/>
                                <w:right w:w="0" w:type="dxa"/>
                              </w:tblCellMar>
                            </w:tblPr>
                            <w:tblGrid>
                              <w:gridCol w:w="1078"/>
                              <w:gridCol w:w="1811"/>
                              <w:gridCol w:w="2662"/>
                              <w:gridCol w:w="2161"/>
                              <w:gridCol w:w="2067"/>
                              <w:gridCol w:w="2127"/>
                            </w:tblGrid>
                            <w:tr>
                              <w:trPr>
                                <w:tblHeader w:val="true"/>
                              </w:trPr>
                              <w:tc>
                                <w:tcPr>
                                  <w:tcW w:w="2889" w:type="dxa"/>
                                  <w:gridSpan w:val="2"/>
                                  <w:vMerge w:val="restart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Layer name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vMerge w:val="restart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Overview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Merge w:val="restart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4194" w:type="dxa"/>
                                  <w:gridSpan w:val="2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>
                              <w:trPr>
                                <w:tblHeader w:val="true"/>
                              </w:trPr>
                              <w:tc>
                                <w:tcPr>
                                  <w:tcW w:w="2889" w:type="dxa"/>
                                  <w:gridSpan w:val="2"/>
                                  <w:vMerge w:val="continue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vMerge w:val="continue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Merge w:val="continue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Mounting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E1E0E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High-order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89" w:type="dxa"/>
                                  <w:gridSpan w:val="2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Runtime Environment (RTE)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Middleware layer providing communication services for AUTOSAR software components (SWC) and applications containing AUTOSAR sensor/actuator parts.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Make AUTOSAR software components (SWC) independent of mapping to specific ECU.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Specialized for ECU and application. Generated for each ECU.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Interface is completely independent of ECU.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vMerge w:val="restart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Basic Software (BSW)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Services Layer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spacing w:before="0" w:after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Highest basic software layer; provides the following functions: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1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right="0" w:hanging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OS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1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hanging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Vehicle network communications and management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1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hanging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Memory service (NVRAM management)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1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hanging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Diagnostic service (including UDS &lt;protocol&gt; communication and error memory)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1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hanging="283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ECU state management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Provide basic services and basic software modules for applications.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Specialized for microcontroller (MCU), part of ECU hardware, and application.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Interface is independent of microcontroller (MCU) and ECU hardware.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vMerge w:val="continue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ECU Abstraction Layer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spacing w:before="0" w:after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Interface with MCAL (including external device driver); provides the following: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right="0" w:hanging="283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Access to peripherals and devices irrespective of whether they are inside or outside the microcontroller (MCU)</w:t>
                                  </w:r>
                                </w:p>
                                <w:p>
                                  <w:pPr>
                                    <w:pStyle w:val="TableContents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tabs>
                                      <w:tab w:val="clear" w:pos="709"/>
                                      <w:tab w:val="left" w:pos="0" w:leader="none"/>
                                    </w:tabs>
                                    <w:bidi w:val="0"/>
                                    <w:spacing w:before="0" w:after="0"/>
                                    <w:ind w:left="0" w:hanging="283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API for interfacing with microcontroller (MCU) (port pins, interface type)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Make upper software layer independent of ECU hardware layout.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Mounting is independent of microcontroller (MCU) and dependent on ECU hardware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Interface is independent of microcontroller (MCU) and ECU hardware.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vMerge w:val="continue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Complex Drivers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Layer used for complex functions not found on other layers. This layer accesses the microcontroller (MCU) directly.</w:t>
                                    <w:br/>
                                    <w:t>Examples: Injection control, control of electrical values, position increase detection, etc.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Fulfills special functions and timing requirements needed to operate complex sensors and actuators.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Highly dependent on microcontroller (MCU), ECU and application.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Interface is standardized and mounted according to AUTOSAR (AUTOSAR interface).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vMerge w:val="continue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Microcontroller Abstraction Layer (MCAL)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Software module that directly accesses on-chip microcontroller (MCU) peripheral modules and external devices that are mapped to memory.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Make upper software layer independent of microcontroller (MCU).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Dependent on microcontroller (MCU).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E1E0E0"/>
                                  </w:tcBorders>
                                  <w:shd w:fill="FAFAFA" w:val="clear"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b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</w:rPr>
                                    <w:t>Interface is independent of standardized microcontroller (MCU).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841.9pt;mso-wrap-distance-left:0pt;mso-wrap-distance-right:0pt;mso-wrap-distance-top:0pt;mso-wrap-distance-bottom:0pt;margin-top:-56.7pt;mso-position-vertical:top;mso-position-vertical-relative:text;margin-left:-56.7pt;mso-position-horizontal:left;mso-position-horizontal-relative:text">
                <v:textbox inset="0in,0in,0in,0in">
                  <w:txbxContent>
                    <w:p>
                      <w:pPr>
                        <w:pStyle w:val="Heading1"/>
                        <w:widowControl/>
                        <w:bidi w:val="0"/>
                        <w:spacing w:lineRule="auto" w:line="792" w:before="225" w:after="225"/>
                        <w:jc w:val="left"/>
                        <w:rPr/>
                      </w:pPr>
                      <w:r>
                        <w:rPr>
                          <w:rFonts w:ascii="Oswald;Open Sans;Helvetica;Arial;Lucida Grande;Nimbus Sans L;sans-serif" w:hAnsi="Oswald;Open Sans;Helvetica;Arial;Lucida Grande;Nimbus Sans L;sans-serif"/>
                          <w:b/>
                          <w:color w:val="1C1C1C"/>
                          <w:spacing w:val="0"/>
                          <w:highlight w:val="white"/>
                        </w:rPr>
                        <w:t>AUTOSAR Layered Architecture</w:t>
                      </w:r>
                    </w:p>
                    <w:p>
                      <w:pPr>
                        <w:pStyle w:val="TextBody"/>
                        <w:bidi w:val="0"/>
                        <w:jc w:val="left"/>
                        <w:rPr/>
                      </w:pPr>
                      <w:r>
                        <w:rPr>
                          <w:highlight w:val="white"/>
                        </w:rPr>
                        <w:t>In AUTOSAR, software is componentized and application software reusability is improved. AUTOSAR's layered architecture and details of each layer are shown below.</w:t>
                      </w:r>
                    </w:p>
                    <w:p>
                      <w:pPr>
                        <w:pStyle w:val="TextBody"/>
                        <w:bidi w:val="0"/>
                        <w:spacing w:before="0" w:after="0"/>
                        <w:ind w:left="0" w:right="0" w:hanging="0"/>
                        <w:jc w:val="left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drawing>
                          <wp:inline distT="0" distB="0" distL="0" distR="0">
                            <wp:extent cx="5905500" cy="3429000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0" cy="342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extBody"/>
                        <w:bidi w:val="0"/>
                        <w:spacing w:before="0" w:after="0"/>
                        <w:ind w:left="0" w:right="0" w:hanging="0"/>
                        <w:jc w:val="left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>AUTOSAR Layered Architecture</w:t>
                      </w:r>
                    </w:p>
                    <w:p>
                      <w:pPr>
                        <w:pStyle w:val="Heading2"/>
                        <w:bidi w:val="0"/>
                        <w:spacing w:lineRule="auto" w:line="576" w:before="0" w:after="375"/>
                        <w:jc w:val="left"/>
                        <w:rPr>
                          <w:rFonts w:ascii="Open Sans;Helvetica;Arial;Lucida Grande;Nimbus Sans L;sans-serif" w:hAnsi="Open Sans;Helvetica;Arial;Lucida Grande;Nimbus Sans L;sans-serif"/>
                          <w:b/>
                          <w:color w:val="1C1C1C"/>
                        </w:rPr>
                      </w:pPr>
                      <w:r>
                        <w:rPr>
                          <w:rFonts w:ascii="Open Sans;Helvetica;Arial;Lucida Grande;Nimbus Sans L;sans-serif" w:hAnsi="Open Sans;Helvetica;Arial;Lucida Grande;Nimbus Sans L;sans-serif"/>
                          <w:b/>
                          <w:color w:val="1C1C1C"/>
                        </w:rPr>
                        <w:t>Description of Layers</w:t>
                      </w:r>
                    </w:p>
                    <w:tbl>
                      <w:tblPr>
                        <w:tblW w:w="11906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225" w:type="dxa"/>
                          <w:right w:w="0" w:type="dxa"/>
                        </w:tblCellMar>
                      </w:tblPr>
                      <w:tblGrid>
                        <w:gridCol w:w="1078"/>
                        <w:gridCol w:w="1811"/>
                        <w:gridCol w:w="2662"/>
                        <w:gridCol w:w="2161"/>
                        <w:gridCol w:w="2067"/>
                        <w:gridCol w:w="2127"/>
                      </w:tblGrid>
                      <w:tr>
                        <w:trPr>
                          <w:tblHeader w:val="true"/>
                        </w:trPr>
                        <w:tc>
                          <w:tcPr>
                            <w:tcW w:w="2889" w:type="dxa"/>
                            <w:gridSpan w:val="2"/>
                            <w:vMerge w:val="restart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Layer name</w:t>
                            </w:r>
                          </w:p>
                        </w:tc>
                        <w:tc>
                          <w:tcPr>
                            <w:tcW w:w="2662" w:type="dxa"/>
                            <w:vMerge w:val="restart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Overview</w:t>
                            </w:r>
                          </w:p>
                        </w:tc>
                        <w:tc>
                          <w:tcPr>
                            <w:tcW w:w="2161" w:type="dxa"/>
                            <w:vMerge w:val="restart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4194" w:type="dxa"/>
                            <w:gridSpan w:val="2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Features</w:t>
                            </w:r>
                          </w:p>
                        </w:tc>
                      </w:tr>
                      <w:tr>
                        <w:trPr>
                          <w:tblHeader w:val="true"/>
                        </w:trPr>
                        <w:tc>
                          <w:tcPr>
                            <w:tcW w:w="2889" w:type="dxa"/>
                            <w:gridSpan w:val="2"/>
                            <w:vMerge w:val="continue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c>
                        <w:tc>
                          <w:tcPr>
                            <w:tcW w:w="2662" w:type="dxa"/>
                            <w:vMerge w:val="continue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c>
                        <w:tc>
                          <w:tcPr>
                            <w:tcW w:w="2161" w:type="dxa"/>
                            <w:vMerge w:val="continue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Mounting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bottom w:val="single" w:sz="2" w:space="0" w:color="E1E0E0"/>
                            </w:tcBorders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High-order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89" w:type="dxa"/>
                            <w:gridSpan w:val="2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Runtime Environment (RTE)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Middleware layer providing communication services for AUTOSAR software components (SWC) and applications containing AUTOSAR sensor/actuator parts.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Make AUTOSAR software components (SWC) independent of mapping to specific ECU.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Specialized for ECU and application. Generated for each ECU.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Interface is completely independent of ECU.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vMerge w:val="restart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Basic Software (BSW)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Services Layer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spacing w:before="0" w:after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Highest basic software layer; provides the following functions: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right="0" w:hanging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OS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hanging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Vehicle network communications and management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hanging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Memory service (NVRAM management)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hanging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Diagnostic service (including UDS &lt;protocol&gt; communication and error memory)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hanging="283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ECU state management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Provide basic services and basic software modules for applications.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Specialized for microcontroller (MCU), part of ECU hardware, and application.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Interface is independent of microcontroller (MCU) and ECU hardware.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vMerge w:val="continue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ECU Abstraction Layer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spacing w:before="0" w:after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Interface with MCAL (including external device driver); provides the following: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right="0" w:hanging="283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Access to peripherals and devices irrespective of whether they are inside or outside the microcontroller (MCU)</w:t>
                            </w:r>
                          </w:p>
                          <w:p>
                            <w:pPr>
                              <w:pStyle w:val="TableContents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bidi w:val="0"/>
                              <w:spacing w:before="0" w:after="0"/>
                              <w:ind w:left="0" w:hanging="283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API for interfacing with microcontroller (MCU) (port pins, interface type)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Make upper software layer independent of ECU hardware layout.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Mounting is independent of microcontroller (MCU) and dependent on ECU hardware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Interface is independent of microcontroller (MCU) and ECU hardware.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vMerge w:val="continue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Complex Drivers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Layer used for complex functions not found on other layers. This layer accesses the microcontroller (MCU) directly.</w:t>
                              <w:br/>
                              <w:t>Examples: Injection control, control of electrical values, position increase detection, etc.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Fulfills special functions and timing requirements needed to operate complex sensors and actuators.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Highly dependent on microcontroller (MCU), ECU and application.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Interface is standardized and mounted according to AUTOSAR (AUTOSAR interface).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vMerge w:val="continue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Microcontroller Abstraction Layer (MCAL)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Software module that directly accesses on-chip microcontroller (MCU) peripheral modules and external devices that are mapped to memory.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Make upper software layer independent of microcontroller (MCU).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Dependent on microcontroller (MCU).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bottom w:val="single" w:sz="2" w:space="0" w:color="E1E0E0"/>
                            </w:tcBorders>
                            <w:shd w:fill="FAFAFA" w:val="clear"/>
                            <w:vAlign w:val="cente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</w:rPr>
                              <w:t>Interface is independent of standardized microcontroller (MCU).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/>
      </w:pPr>
      <w:hyperlink r:id="rId3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Overview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4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Careers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5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Investors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6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News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7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Sustainability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8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Contact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9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Blogs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0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Videos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1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Website Feedback</w:t>
        </w:r>
      </w:hyperlink>
    </w:p>
    <w:p>
      <w:pPr>
        <w:pStyle w:val="Heading2"/>
        <w:widowControl/>
        <w:bidi w:val="0"/>
        <w:spacing w:lineRule="auto" w:line="319" w:before="0" w:after="225"/>
        <w:jc w:val="left"/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</w:pPr>
      <w:bookmarkStart w:id="1" w:name="block-menu-block-top-tools-menu-title"/>
      <w:bookmarkEnd w:id="1"/>
      <w:r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  <w:t>Top Tools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/>
      </w:pPr>
      <w:hyperlink r:id="rId12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e² studio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3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CS+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4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MCU / MPU Selection Tool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5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iSim:PE Offline Simulation Tool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6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PowerCompass Multi-Rail Design Tool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7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PowerNavigator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8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Timing Commander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19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Lab on the Cloud</w:t>
        </w:r>
      </w:hyperlink>
    </w:p>
    <w:p>
      <w:pPr>
        <w:pStyle w:val="Heading2"/>
        <w:widowControl/>
        <w:bidi w:val="0"/>
        <w:spacing w:lineRule="auto" w:line="319" w:before="0" w:after="225"/>
        <w:jc w:val="left"/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</w:pPr>
      <w:bookmarkStart w:id="2" w:name="block-menu-block-buy-sample-menu-title"/>
      <w:bookmarkEnd w:id="2"/>
      <w:r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  <w:t>Buy/Sample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/>
      </w:pPr>
      <w:hyperlink r:id="rId20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Sales Support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21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Free Sample Request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22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Check Product Availability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23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Sales and Distributor Directory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24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</w:rPr>
          <w:t>ROM Ordering</w:t>
        </w:r>
      </w:hyperlink>
    </w:p>
    <w:p>
      <w:pPr>
        <w:pStyle w:val="Heading2"/>
        <w:widowControl/>
        <w:bidi w:val="0"/>
        <w:spacing w:lineRule="auto" w:line="319" w:before="0" w:after="225"/>
        <w:jc w:val="left"/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</w:pPr>
      <w:r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  <w:t>Language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/>
      </w:pPr>
      <w:hyperlink r:id="rId25">
        <w:r>
          <w:rPr>
            <w:rStyle w:val="InternetLink"/>
            <w:rFonts w:ascii="Open Sans;Helvetica;Arial;Lucida Grande;Nimbus Sans L;sans-serif" w:hAnsi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  <w:lang w:val="en-US"/>
          </w:rPr>
          <w:t>English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26">
        <w:r>
          <w:rPr>
            <w:rStyle w:val="InternetLink"/>
            <w:rFonts w:eastAsia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  <w:lang w:eastAsia="zh-CN"/>
          </w:rPr>
          <w:t>中文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283"/>
        <w:jc w:val="left"/>
        <w:rPr/>
      </w:pPr>
      <w:hyperlink r:id="rId27">
        <w:r>
          <w:rPr>
            <w:rStyle w:val="InternetLink"/>
            <w:rFonts w:eastAsia="Open Sans;Helvetica;Arial;Lucida Grande;Nimbus Sans L;sans-serif"/>
            <w:b w:val="false"/>
            <w:i w:val="false"/>
            <w:caps w:val="false"/>
            <w:smallCaps w:val="false"/>
            <w:strike w:val="false"/>
            <w:dstrike w:val="false"/>
            <w:color w:val="383838"/>
            <w:spacing w:val="0"/>
            <w:sz w:val="24"/>
            <w:u w:val="none"/>
            <w:effect w:val="none"/>
            <w:lang w:eastAsia="ja-JP"/>
          </w:rPr>
          <w:t>日本語</w:t>
        </w:r>
      </w:hyperlink>
    </w:p>
    <w:p>
      <w:pPr>
        <w:pStyle w:val="Heading2"/>
        <w:widowControl/>
        <w:bidi w:val="0"/>
        <w:spacing w:lineRule="auto" w:line="319" w:before="0" w:after="225"/>
        <w:jc w:val="left"/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</w:pPr>
      <w:r>
        <w:rPr>
          <w:rFonts w:ascii="Open Sans;Helvetica;Arial;Lucida Grande;Nimbus Sans L;sans-serif" w:hAnsi="Open Sans;Helvetica;Arial;Lucida Grande;Nimbus Sans L;sans-serif"/>
          <w:b/>
          <w:i w:val="false"/>
          <w:caps w:val="false"/>
          <w:smallCaps w:val="false"/>
          <w:color w:val="FFFFFF"/>
          <w:spacing w:val="0"/>
          <w:sz w:val="24"/>
        </w:rPr>
        <w:t>Region</w:t>
      </w:r>
    </w:p>
    <w:p>
      <w:pPr>
        <w:pStyle w:val="TextBody"/>
        <w:widowControl/>
        <w:bidi w:val="0"/>
        <w:spacing w:before="0" w:after="0"/>
        <w:jc w:val="left"/>
        <w:rPr>
          <w:caps w:val="false"/>
          <w:smallCaps w:val="false"/>
          <w:color w:val="383838"/>
          <w:spacing w:val="0"/>
        </w:rPr>
      </w:pPr>
      <w:r>
        <w:rPr>
          <w:caps w:val="false"/>
          <w:smallCaps w:val="false"/>
          <w:color w:val="383838"/>
          <w:spacing w:val="0"/>
        </w:rPr>
        <w:t>       </w:t>
      </w:r>
      <w:r>
        <w:rPr>
          <w:rFonts w:ascii="Open Sans;Helvetica;Arial;Lucida Grande;Nimbus Sans L;sans-serif" w:hAnsi="Open Sans;Helvetica;Arial;Lucida Grande;Nimbus Sans L;sans-serif"/>
          <w:b w:val="false"/>
          <w:i w:val="false"/>
          <w:caps w:val="false"/>
          <w:smallCaps w:val="false"/>
          <w:color w:val="383838"/>
          <w:spacing w:val="0"/>
          <w:sz w:val="24"/>
        </w:rPr>
        <w:t>Americas       Brazil       Europe/Middle East/Africa       Japan       Mainland China/Hong Kong Region       Singapore/South &amp; Southeast Asia/Oceania       India       South Korea       Taiwan Region     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hyperlink r:id="rId28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strike w:val="false"/>
            <w:dstrike w:val="false"/>
            <w:color w:val="2A289D"/>
            <w:u w:val="none"/>
            <w:effect w:val="none"/>
          </w:rPr>
          <w:t>YouTube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hyperlink r:id="rId29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2A289D"/>
            <w:spacing w:val="0"/>
            <w:sz w:val="24"/>
            <w:u w:val="none"/>
            <w:effect w:val="none"/>
          </w:rPr>
          <w:t>Twitter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hyperlink r:id="rId30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2A289D"/>
            <w:spacing w:val="0"/>
            <w:sz w:val="24"/>
            <w:u w:val="none"/>
            <w:effect w:val="none"/>
          </w:rPr>
          <w:t>Facebook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hyperlink r:id="rId31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2A289D"/>
            <w:spacing w:val="0"/>
            <w:sz w:val="24"/>
            <w:u w:val="none"/>
            <w:effect w:val="none"/>
          </w:rPr>
          <w:t>Instagram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hyperlink r:id="rId32" w:tgtFrame="_blank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2A289D"/>
            <w:spacing w:val="0"/>
            <w:sz w:val="24"/>
            <w:u w:val="none"/>
            <w:effect w:val="none"/>
          </w:rPr>
          <w:t>LinkedIn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bidi w:val="0"/>
        <w:jc w:val="left"/>
        <w:rPr>
          <w:rFonts w:ascii="Open Sans;Helvetica;Arial;Lucida Grande;Nimbus Sans L;sans-serif" w:hAnsi="Open Sans;Helvetica;Arial;Lucida Grande;Nimbus Sans L;sans-serif" w:eastAsia="Open Sans;Helvetica;Arial;Lucida Grande;Nimbus Sans L;sans-serif" w:cs="Open Sans;Helvetica;Arial;Lucida Grande;Nimbus Sans 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3838"/>
          <w:spacing w:val="0"/>
          <w:sz w:val="24"/>
          <w:szCs w:val="24"/>
        </w:rPr>
      </w:pPr>
      <w:r>
        <w:rPr>
          <w:rFonts w:eastAsia="Open Sans;Helvetica;Arial;Lucida Grande;Nimbus Sans L;sans-serif" w:cs="Open Sans;Helvetica;Arial;Lucida Grande;Nimbus Sans L;sans-serif" w:ascii="Open Sans;Helvetica;Arial;Lucida Grande;Nimbus Sans L;sans-serif" w:hAnsi="Open Sans;Helvetica;Arial;Lucida Grande;Nimbus Sans L;sans-serif"/>
          <w:b w:val="false"/>
          <w:bCs w:val="false"/>
          <w:i w:val="false"/>
          <w:iCs w:val="false"/>
          <w:caps w:val="false"/>
          <w:smallCaps w:val="false"/>
          <w:color w:val="383838"/>
          <w:spacing w:val="0"/>
          <w:sz w:val="24"/>
          <w:szCs w:val="24"/>
        </w:rPr>
        <w:t>©2022 Renesas Electronics Corporation.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hyperlink r:id="rId33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4"/>
            <w:u w:val="none"/>
            <w:effect w:val="none"/>
          </w:rPr>
          <w:t>N</w:t>
        </w:r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4"/>
            <w:u w:val="none"/>
            <w:effect w:val="none"/>
          </w:rPr>
          <w:t>otices &amp; Terms</w:t>
        </w:r>
      </w:hyperlink>
      <w:r>
        <mc:AlternateContent>
          <mc:Choice Requires="wps">
            <w:drawing>
              <wp:anchor behindDoc="0" distT="0" distB="238125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7412990"/>
                <wp:effectExtent l="0" t="0" r="0" b="0"/>
                <wp:wrapNone/>
                <wp:docPr id="4" name="block-menu-block-legal-menu-menu-titl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7412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2"/>
                              <w:bidi w:val="0"/>
                              <w:spacing w:lineRule="auto" w:line="576" w:before="200" w:after="120"/>
                              <w:jc w:val="left"/>
                              <w:rPr>
                                <w:rFonts w:ascii="Open Sans;Helvetica;Arial;Lucida Grande;Nimbus Sans L;sans-serif" w:hAnsi="Open Sans;Helvetica;Arial;Lucida Grande;Nimbus Sans L;sans-serif"/>
                                <w:b/>
                                <w:color w:val="1C1C1C"/>
                              </w:rPr>
                            </w:pPr>
                            <w:r>
                              <w:rPr>
                                <w:rFonts w:ascii="Open Sans;Helvetica;Arial;Lucida Grande;Nimbus Sans L;sans-serif" w:hAnsi="Open Sans;Helvetica;Arial;Lucida Grande;Nimbus Sans L;sans-serif"/>
                                <w:b/>
                                <w:color w:val="1C1C1C"/>
                              </w:rPr>
                              <w:t>Legal footer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583.7pt;mso-wrap-distance-left:0pt;mso-wrap-distance-right:0pt;mso-wrap-distance-top:0pt;mso-wrap-distance-bottom:18.75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2"/>
                        <w:bidi w:val="0"/>
                        <w:spacing w:lineRule="auto" w:line="576" w:before="200" w:after="120"/>
                        <w:jc w:val="left"/>
                        <w:rPr>
                          <w:rFonts w:ascii="Open Sans;Helvetica;Arial;Lucida Grande;Nimbus Sans L;sans-serif" w:hAnsi="Open Sans;Helvetica;Arial;Lucida Grande;Nimbus Sans L;sans-serif"/>
                          <w:b/>
                          <w:color w:val="1C1C1C"/>
                        </w:rPr>
                      </w:pPr>
                      <w:r>
                        <w:rPr>
                          <w:rFonts w:ascii="Open Sans;Helvetica;Arial;Lucida Grande;Nimbus Sans L;sans-serif" w:hAnsi="Open Sans;Helvetica;Arial;Lucida Grande;Nimbus Sans L;sans-serif"/>
                          <w:b/>
                          <w:color w:val="1C1C1C"/>
                        </w:rPr>
                        <w:t>Legal footer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hyperlink r:id="rId34">
        <w:r>
          <w:rPr>
            <w:rStyle w:val="InternetLink"/>
            <w:rFonts w:ascii="Open Sans;Helvetica;Arial;Lucida Grande;Nimbus Sans L;sans-serif" w:hAnsi="Open Sans;Helvetica;Arial;Lucida Grande;Nimbus Sans L;sans-serif"/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4"/>
            <w:u w:val="none"/>
            <w:effect w:val="none"/>
          </w:rPr>
          <w:t>Privacy Policy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before="0" w:after="140"/>
        <w:jc w:val="left"/>
        <w:rPr/>
      </w:pPr>
      <w:r>
        <w:rPr/>
        <w:b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swald">
    <w:altName w:val="Open Sans"/>
    <w:charset w:val="01"/>
    <w:family w:val="auto"/>
    <w:pitch w:val="default"/>
  </w:font>
  <w:font w:name="Open Sans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renesas.com/us/en/about/profile" TargetMode="External"/><Relationship Id="rId4" Type="http://schemas.openxmlformats.org/officeDocument/2006/relationships/hyperlink" Target="https://jobs.renesas.com/" TargetMode="External"/><Relationship Id="rId5" Type="http://schemas.openxmlformats.org/officeDocument/2006/relationships/hyperlink" Target="https://www.renesas.com/us/en/about/investor-relations" TargetMode="External"/><Relationship Id="rId6" Type="http://schemas.openxmlformats.org/officeDocument/2006/relationships/hyperlink" Target="https://www.renesas.com/us/en/about/press-center" TargetMode="External"/><Relationship Id="rId7" Type="http://schemas.openxmlformats.org/officeDocument/2006/relationships/hyperlink" Target="https://www.renesas.com/us/en/about/company/sustainability" TargetMode="External"/><Relationship Id="rId8" Type="http://schemas.openxmlformats.org/officeDocument/2006/relationships/hyperlink" Target="https://www.renesas.com/us/en/contact-us" TargetMode="External"/><Relationship Id="rId9" Type="http://schemas.openxmlformats.org/officeDocument/2006/relationships/hyperlink" Target="https://www.renesas.com/us/en/blogs" TargetMode="External"/><Relationship Id="rId10" Type="http://schemas.openxmlformats.org/officeDocument/2006/relationships/hyperlink" Target="https://www.renesas.com/us/en/about/press-room/videos" TargetMode="External"/><Relationship Id="rId11" Type="http://schemas.openxmlformats.org/officeDocument/2006/relationships/hyperlink" Target="https://www.renesas.com/us/en/websitefeedback" TargetMode="External"/><Relationship Id="rId12" Type="http://schemas.openxmlformats.org/officeDocument/2006/relationships/hyperlink" Target="https://www.renesas.com/us/en/software-tool/e-studio" TargetMode="External"/><Relationship Id="rId13" Type="http://schemas.openxmlformats.org/officeDocument/2006/relationships/hyperlink" Target="https://www.renesas.com/us/en/software-tool/cs" TargetMode="External"/><Relationship Id="rId14" Type="http://schemas.openxmlformats.org/officeDocument/2006/relationships/hyperlink" Target="https://www.renesas.com/us/en/products/microcontrollers-microprocessors/mcu-mpu-selection-tool" TargetMode="External"/><Relationship Id="rId15" Type="http://schemas.openxmlformats.org/officeDocument/2006/relationships/hyperlink" Target="https://www.renesas.com/us/en/software-tool/isimpe-offline-simulation-tool" TargetMode="External"/><Relationship Id="rId16" Type="http://schemas.openxmlformats.org/officeDocument/2006/relationships/hyperlink" Target="https://powercompass.renesas.com/" TargetMode="External"/><Relationship Id="rId17" Type="http://schemas.openxmlformats.org/officeDocument/2006/relationships/hyperlink" Target="https://www.renesas.com/us/en/software-tool/powernavigator-software" TargetMode="External"/><Relationship Id="rId18" Type="http://schemas.openxmlformats.org/officeDocument/2006/relationships/hyperlink" Target="https://www.renesas.com/us/en/products/clocks-timing/timing-commander-software-download-resource-guide" TargetMode="External"/><Relationship Id="rId19" Type="http://schemas.openxmlformats.org/officeDocument/2006/relationships/hyperlink" Target="https://www.renesas.com/us/en/labonthecloud" TargetMode="External"/><Relationship Id="rId20" Type="http://schemas.openxmlformats.org/officeDocument/2006/relationships/hyperlink" Target="https://www.renesas.com/us/en/contact-us" TargetMode="External"/><Relationship Id="rId21" Type="http://schemas.openxmlformats.org/officeDocument/2006/relationships/hyperlink" Target="https://www.renesas.com/us/en/buy-sample/free-samples" TargetMode="External"/><Relationship Id="rId22" Type="http://schemas.openxmlformats.org/officeDocument/2006/relationships/hyperlink" Target="https://www.renesas.com/us/en/buy-sample/check-inventory" TargetMode="External"/><Relationship Id="rId23" Type="http://schemas.openxmlformats.org/officeDocument/2006/relationships/hyperlink" Target="https://www.renesas.com/us/en/buy-sample/locations" TargetMode="External"/><Relationship Id="rId24" Type="http://schemas.openxmlformats.org/officeDocument/2006/relationships/hyperlink" Target="https://www.renesas.com/us/en/products/rom-ordering" TargetMode="External"/><Relationship Id="rId25" Type="http://schemas.openxmlformats.org/officeDocument/2006/relationships/hyperlink" Target="https://www.renesas.com/us/en/application/automotive/common-automotive-technologies/autosar/autosar-layered-architecture" TargetMode="External"/><Relationship Id="rId26" Type="http://schemas.openxmlformats.org/officeDocument/2006/relationships/hyperlink" Target="https://www.renesas.com/us/zh/application/automotive/common-automotive-technologies/autosar/autosar-layered-architecture" TargetMode="External"/><Relationship Id="rId27" Type="http://schemas.openxmlformats.org/officeDocument/2006/relationships/hyperlink" Target="https://www.renesas.com/us/ja/application/automotive/common-automotive-technologies/autosar/autosar-layered-architecture" TargetMode="External"/><Relationship Id="rId28" Type="http://schemas.openxmlformats.org/officeDocument/2006/relationships/hyperlink" Target="http://www.youtube.com/RenesasPresents" TargetMode="External"/><Relationship Id="rId29" Type="http://schemas.openxmlformats.org/officeDocument/2006/relationships/hyperlink" Target="https://www.renesas.com/twitter" TargetMode="External"/><Relationship Id="rId30" Type="http://schemas.openxmlformats.org/officeDocument/2006/relationships/hyperlink" Target="https://www.facebook.com/RenesasElectronics" TargetMode="External"/><Relationship Id="rId31" Type="http://schemas.openxmlformats.org/officeDocument/2006/relationships/hyperlink" Target="https://www.instagram.com/renesas_global" TargetMode="External"/><Relationship Id="rId32" Type="http://schemas.openxmlformats.org/officeDocument/2006/relationships/hyperlink" Target="https://www.linkedin.com/company/renesas" TargetMode="External"/><Relationship Id="rId33" Type="http://schemas.openxmlformats.org/officeDocument/2006/relationships/hyperlink" Target="https://www.renesas.com/us/en/legal-notices" TargetMode="External"/><Relationship Id="rId34" Type="http://schemas.openxmlformats.org/officeDocument/2006/relationships/hyperlink" Target="https://www.renesas.com/legal/privacy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450</Words>
  <Characters>2789</Characters>
  <CharactersWithSpaces>3174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2022-05-31T18:45:23Z</dcterms:created>
  <dc:creator/>
  <dc:description/>
  <dc:language>en-IN</dc:language>
  <cp:lastModifiedBy/>
  <dcterms:modified xsi:type="dcterms:W3CDTF">2022-05-31T18:48:16Z</dcterms:modified>
  <cp:revision>1</cp:revision>
  <dc:subject/>
  <dc:title/>
</cp:coreProperties>
</file>