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428A3" w14:textId="77777777" w:rsidR="00CF1AB0" w:rsidRDefault="000C414E">
      <w:pPr>
        <w:pStyle w:val="Heading1"/>
      </w:pPr>
      <w:r>
        <w:t>MASTER SERVICES AGREEMENT (Healthcare Industry)</w:t>
      </w:r>
    </w:p>
    <w:p w14:paraId="3477ADA3" w14:textId="1AA88A42" w:rsidR="00CF1AB0" w:rsidRDefault="000C414E">
      <w:r>
        <w:br/>
      </w:r>
      <w:r>
        <w:t>This Master Services Agreement (“Agreement”) is made and entered into on 1st January 2026 (“Effective Date”)</w:t>
      </w:r>
      <w:r>
        <w:br/>
      </w:r>
      <w:r>
        <w:br/>
        <w:t>BETWEEN</w:t>
      </w:r>
      <w:r>
        <w:br/>
      </w:r>
      <w:r>
        <w:br/>
        <w:t>Apollo Health Systems Private Limited,</w:t>
      </w:r>
      <w:r>
        <w:br/>
        <w:t>Registered Office: No. 21, Greams Road, Chennai – 600006, Tamil Nadu, India</w:t>
      </w:r>
      <w:r>
        <w:br/>
        <w:t>(hereinafter referred to as “Client”)</w:t>
      </w:r>
      <w:r>
        <w:br/>
      </w:r>
      <w:r>
        <w:br/>
        <w:t>AND</w:t>
      </w:r>
      <w:r>
        <w:br/>
      </w:r>
      <w:r>
        <w:br/>
        <w:t>MedTech AI Solutions Private Limited,</w:t>
      </w:r>
      <w:r>
        <w:br/>
        <w:t>Registered Office: 5th Floor, Prestige Polygon, Anna Salai, Chennai – 600002, Tamil Nadu, India</w:t>
      </w:r>
      <w:r>
        <w:br/>
        <w:t>(hereinafter referred to as “Service Provider”)</w:t>
      </w:r>
      <w:r>
        <w:br/>
      </w:r>
      <w:r>
        <w:br/>
        <w:t>Collectively referred to as “Parties”.</w:t>
      </w:r>
      <w:r>
        <w:br/>
      </w:r>
      <w:r>
        <w:br/>
        <w:t>-----------</w:t>
      </w:r>
      <w:r>
        <w:t>------------------------------</w:t>
      </w:r>
      <w:r>
        <w:br/>
        <w:t>1. DEFINITIONS</w:t>
      </w:r>
      <w:r>
        <w:br/>
        <w:t>-----------------------------------------</w:t>
      </w:r>
      <w:r>
        <w:br/>
        <w:t>“PHI” means Protected Health Information as defined under HIPAA.</w:t>
      </w:r>
      <w:r>
        <w:br/>
        <w:t>“Services” means AI-based Intelligent Document Processing (IDP), automation, analytics, and related support.</w:t>
      </w:r>
      <w:r>
        <w:br/>
        <w:t>“SLA” means Service Level Agreement.</w:t>
      </w:r>
      <w:r>
        <w:br/>
        <w:t>“Force Majeure Event” means events beyond reasonable control of the affected Party.</w:t>
      </w:r>
      <w:r>
        <w:br/>
      </w:r>
      <w:r>
        <w:br/>
        <w:t>-----------------------------------------</w:t>
      </w:r>
      <w:r>
        <w:br/>
        <w:t>2. SCOPE OF SERVICES</w:t>
      </w:r>
      <w:r>
        <w:br/>
        <w:t>-----------------------------------------</w:t>
      </w:r>
      <w:r>
        <w:br/>
        <w:t>2.1 Service Provider sh</w:t>
      </w:r>
      <w:r>
        <w:t>all implement and operate AI-powered IDP for:</w:t>
      </w:r>
      <w:r>
        <w:br/>
        <w:t>• Patient Registration Forms</w:t>
      </w:r>
      <w:r>
        <w:br/>
        <w:t>• Insurance Claim Forms</w:t>
      </w:r>
      <w:r>
        <w:br/>
        <w:t>• Discharge Summaries</w:t>
      </w:r>
      <w:r>
        <w:br/>
        <w:t>• Lab Reports</w:t>
      </w:r>
      <w:r>
        <w:br/>
        <w:t>• Electronic Health Records (EHR) Extraction</w:t>
      </w:r>
      <w:r>
        <w:br/>
      </w:r>
      <w:r>
        <w:br/>
        <w:t>2.2 Estimated Annual Volume: 250,000 – 400,000 documents.</w:t>
      </w:r>
      <w:r>
        <w:br/>
        <w:t>2.3 Target Accuracy: ≥ 98%</w:t>
      </w:r>
      <w:r>
        <w:br/>
      </w:r>
      <w:r>
        <w:lastRenderedPageBreak/>
        <w:t>2.4 Target Touchless Automation: ≥ 85%</w:t>
      </w:r>
      <w:r>
        <w:br/>
        <w:t>2.5 Services include implementation, training, monitoring, and continuous optimization.</w:t>
      </w:r>
      <w:r>
        <w:br/>
      </w:r>
      <w:r>
        <w:br/>
        <w:t>-----------------------------------------</w:t>
      </w:r>
      <w:r>
        <w:br/>
        <w:t>3. IMPLEMENTATION &amp; TRANSITION</w:t>
      </w:r>
      <w:r>
        <w:br/>
        <w:t>-----------------------------------------</w:t>
      </w:r>
      <w:r>
        <w:br/>
        <w:t>3.1</w:t>
      </w:r>
      <w:r>
        <w:t xml:space="preserve"> Implementation Period: 90 days.</w:t>
      </w:r>
      <w:r>
        <w:br/>
        <w:t>3.2 Dedicated project manager assigned.</w:t>
      </w:r>
      <w:r>
        <w:br/>
        <w:t>3.3 Knowledge transfer sessions to Client IT team.</w:t>
      </w:r>
      <w:r>
        <w:br/>
        <w:t>3.4 Parallel run for 30 days before go-live.</w:t>
      </w:r>
      <w:r>
        <w:br/>
      </w:r>
      <w:r>
        <w:br/>
        <w:t>-----------------------------------------</w:t>
      </w:r>
      <w:r>
        <w:br/>
        <w:t>4. TERM AND RENEWAL</w:t>
      </w:r>
      <w:r>
        <w:br/>
        <w:t>-----------------------------------------</w:t>
      </w:r>
      <w:r>
        <w:br/>
        <w:t>Initial Term: 3 years.</w:t>
      </w:r>
      <w:r>
        <w:br/>
        <w:t>Auto-renewal: 1-year terms unless 90 days written notice provided.</w:t>
      </w:r>
      <w:r>
        <w:br/>
      </w:r>
      <w:r>
        <w:br/>
        <w:t>-----------------------------------------</w:t>
      </w:r>
      <w:r>
        <w:br/>
        <w:t>5. COMMERCIAL TERMS</w:t>
      </w:r>
      <w:r>
        <w:br/>
        <w:t>-----------------------------------------</w:t>
      </w:r>
      <w:r>
        <w:br/>
        <w:t>Implementation Fee: INR 45,00,000 (one-time</w:t>
      </w:r>
      <w:r>
        <w:t>)</w:t>
      </w:r>
      <w:r>
        <w:br/>
        <w:t>Annual Platform License Fee: INR 1,20,00,000</w:t>
      </w:r>
      <w:r>
        <w:br/>
        <w:t>Processing Fee: INR 12 per document</w:t>
      </w:r>
      <w:r>
        <w:br/>
        <w:t>Payment Terms: Net 30 days</w:t>
      </w:r>
      <w:r>
        <w:br/>
        <w:t>Late Payment Interest: 1.5% per month</w:t>
      </w:r>
      <w:r>
        <w:br/>
      </w:r>
      <w:r>
        <w:br/>
        <w:t>-----------------------------------------</w:t>
      </w:r>
      <w:r>
        <w:br/>
        <w:t>6. SERVICE LEVEL AGREEMENT (SLA)</w:t>
      </w:r>
      <w:r>
        <w:br/>
        <w:t>-----------------------------------------</w:t>
      </w:r>
      <w:r>
        <w:br/>
        <w:t>System Uptime: 99.5% monthly</w:t>
      </w:r>
      <w:r>
        <w:br/>
        <w:t>Accuracy Commitment: ≥ 98%</w:t>
      </w:r>
      <w:r>
        <w:br/>
        <w:t>Turnaround Time: ≤ 2 minutes per document</w:t>
      </w:r>
      <w:r>
        <w:br/>
        <w:t>Penalty: 5% service credit if uptime below 99%</w:t>
      </w:r>
      <w:r>
        <w:br/>
        <w:t>Escalation Matrix defined in Annexure A.</w:t>
      </w:r>
      <w:r>
        <w:br/>
      </w:r>
      <w:r>
        <w:br/>
        <w:t>-----------------------------------------</w:t>
      </w:r>
      <w:r>
        <w:br/>
        <w:t>7. DATA PROTECTIO</w:t>
      </w:r>
      <w:r>
        <w:t>N &amp; SECURITY</w:t>
      </w:r>
      <w:r>
        <w:br/>
        <w:t>-----------------------------------------</w:t>
      </w:r>
      <w:r>
        <w:br/>
        <w:t>7.1 Compliance with:</w:t>
      </w:r>
      <w:r>
        <w:br/>
        <w:t>• Indian IT Act 2000</w:t>
      </w:r>
      <w:r>
        <w:br/>
        <w:t>• NABH Guidelines</w:t>
      </w:r>
      <w:r>
        <w:br/>
      </w:r>
      <w:r>
        <w:br/>
        <w:t>7.2 Security Measures:</w:t>
      </w:r>
      <w:r>
        <w:br/>
      </w:r>
      <w:r>
        <w:lastRenderedPageBreak/>
        <w:t>• AES-256 encryption at rest</w:t>
      </w:r>
      <w:r>
        <w:br/>
        <w:t>• TLS 1.2+ encryption in transit</w:t>
      </w:r>
      <w:r>
        <w:br/>
        <w:t>• Role-based access control</w:t>
      </w:r>
      <w:r>
        <w:br/>
        <w:t>• Multi-factor authentication</w:t>
      </w:r>
      <w:r>
        <w:br/>
        <w:t>• Audit logs retention: 7 years</w:t>
      </w:r>
      <w:r>
        <w:br/>
        <w:t xml:space="preserve">• </w:t>
      </w:r>
      <w:r w:rsidRPr="000C414E">
        <w:t>Data breach notification timeline not defined</w:t>
      </w:r>
      <w:r>
        <w:br/>
      </w:r>
      <w:r>
        <w:br/>
        <w:t>-----------------------------------------</w:t>
      </w:r>
      <w:r>
        <w:br/>
        <w:t>8. CONFIDENTIALITY</w:t>
      </w:r>
      <w:r>
        <w:br/>
        <w:t>-----------------------------------------</w:t>
      </w:r>
      <w:r>
        <w:br/>
        <w:t>Confidential information shall remain protected for 5 years post termination.</w:t>
      </w:r>
      <w:r>
        <w:br/>
        <w:t>Exclusions include publicly available information.</w:t>
      </w:r>
      <w:r>
        <w:br/>
      </w:r>
      <w:r>
        <w:br/>
        <w:t>-----------------------------------------</w:t>
      </w:r>
      <w:r>
        <w:br/>
        <w:t>9. INTELLECTUAL PROPERTY RIGHTS</w:t>
      </w:r>
      <w:r>
        <w:br/>
        <w:t>-----------------------------------------</w:t>
      </w:r>
      <w:r>
        <w:br/>
        <w:t>Client retains ownership of all patient data.</w:t>
      </w:r>
      <w:r>
        <w:br/>
        <w:t>Service Provider retains ownership of proprietary AI models and platform IP.</w:t>
      </w:r>
      <w:r>
        <w:br/>
        <w:t xml:space="preserve">Customizations developed specifically </w:t>
      </w:r>
      <w:r>
        <w:t>for Client shall be jointly owned unless otherwise agreed.</w:t>
      </w:r>
      <w:r>
        <w:br/>
      </w:r>
      <w:r>
        <w:br/>
        <w:t>-----------------------------------------</w:t>
      </w:r>
      <w:r>
        <w:br/>
        <w:t>10. REPRESENTATIONS &amp; WARRANTIES</w:t>
      </w:r>
      <w:r>
        <w:br/>
        <w:t>-----------------------------------------</w:t>
      </w:r>
      <w:r>
        <w:br/>
        <w:t>Each Party warrants:</w:t>
      </w:r>
      <w:r>
        <w:br/>
        <w:t>• It is duly incorporated and validly existing.</w:t>
      </w:r>
      <w:r>
        <w:br/>
        <w:t>• It has authority to enter into this Agreement.</w:t>
      </w:r>
      <w:r>
        <w:br/>
        <w:t>• Services will comply with applicable healthcare regulations.</w:t>
      </w:r>
      <w:r>
        <w:br/>
      </w:r>
      <w:r>
        <w:br/>
        <w:t>-----------------------------------------</w:t>
      </w:r>
      <w:r>
        <w:br/>
        <w:t>11. INDEMNIFICATION</w:t>
      </w:r>
      <w:r>
        <w:br/>
        <w:t>-----------------------------------------</w:t>
      </w:r>
      <w:r>
        <w:br/>
        <w:t>Service Provider indemnifies Client against third</w:t>
      </w:r>
      <w:r>
        <w:t>-party claims arising from negligence or data breach attributable to Provider.</w:t>
      </w:r>
      <w:r>
        <w:br/>
        <w:t>Client indemnifies Provider against misuse of system or unlawful data usage.</w:t>
      </w:r>
      <w:r>
        <w:br/>
      </w:r>
      <w:r>
        <w:br/>
        <w:t>-----------------------------------------</w:t>
      </w:r>
      <w:r>
        <w:br/>
        <w:t>12. LIMITATION OF LIABILITY</w:t>
      </w:r>
      <w:r>
        <w:br/>
        <w:t>-----------------------------------------</w:t>
      </w:r>
      <w:r>
        <w:br/>
      </w:r>
      <w:r w:rsidR="00650889" w:rsidRPr="00650889">
        <w:t>Unlimited liability</w:t>
      </w:r>
      <w:r>
        <w:br/>
        <w:t>Excludes willful misconduct and fraud.</w:t>
      </w:r>
      <w:r>
        <w:br/>
      </w:r>
      <w:r>
        <w:br/>
        <w:t>-----------------------------------------</w:t>
      </w:r>
      <w:r>
        <w:br/>
      </w:r>
      <w:r>
        <w:lastRenderedPageBreak/>
        <w:t>13. AUDIT RIGHTS</w:t>
      </w:r>
      <w:r>
        <w:br/>
        <w:t>-----------------------------------------</w:t>
      </w:r>
      <w:r>
        <w:br/>
        <w:t>Client may audit security and compliance processes once annually with 30 days notice.</w:t>
      </w:r>
      <w:r>
        <w:br/>
      </w:r>
      <w:r>
        <w:br/>
        <w:t>-----------------------------------------</w:t>
      </w:r>
      <w:r>
        <w:br/>
        <w:t>14. SUBCONTRACTING</w:t>
      </w:r>
      <w:r>
        <w:br/>
        <w:t>-----------------------------------------</w:t>
      </w:r>
      <w:r>
        <w:br/>
        <w:t>Subcontractors allowed with prior written consent.</w:t>
      </w:r>
      <w:r>
        <w:br/>
        <w:t>Provider remains fully liable for subcontractor actions.</w:t>
      </w:r>
      <w:r>
        <w:br/>
      </w:r>
      <w:r>
        <w:br/>
        <w:t>-----------------------------------------</w:t>
      </w:r>
      <w:r>
        <w:br/>
        <w:t>15. BUSINESS CONTINUITY &amp; DIS</w:t>
      </w:r>
      <w:r>
        <w:t>ASTER RECOVERY</w:t>
      </w:r>
      <w:r>
        <w:br/>
        <w:t>-----------------------------------------</w:t>
      </w:r>
      <w:r>
        <w:br/>
        <w:t>RTO: 4 hours</w:t>
      </w:r>
      <w:r>
        <w:br/>
        <w:t>RPO: 30 minutes</w:t>
      </w:r>
      <w:r>
        <w:br/>
        <w:t>Annual DR testing mandatory.</w:t>
      </w:r>
      <w:r>
        <w:br/>
      </w:r>
      <w:r>
        <w:br/>
        <w:t>-----------------------------------------</w:t>
      </w:r>
      <w:r>
        <w:br/>
        <w:t>16. TERMINATION</w:t>
      </w:r>
      <w:r>
        <w:br/>
        <w:t>-----------------------------------------</w:t>
      </w:r>
      <w:r>
        <w:br/>
        <w:t>Termination for Convenience: 60 days written notice.</w:t>
      </w:r>
      <w:r>
        <w:br/>
        <w:t>Termination for Cause: Immediate upon material breach.</w:t>
      </w:r>
      <w:r>
        <w:br/>
        <w:t>Data return within 30 days of termination.</w:t>
      </w:r>
      <w:r>
        <w:br/>
      </w:r>
      <w:r>
        <w:br/>
        <w:t>-----------------------------------------</w:t>
      </w:r>
      <w:r>
        <w:br/>
        <w:t>17. FORCE MAJEURE</w:t>
      </w:r>
      <w:r>
        <w:br/>
        <w:t>-----------------------------------------</w:t>
      </w:r>
      <w:r>
        <w:br/>
        <w:t>Neither Party liable for events beyond rea</w:t>
      </w:r>
      <w:r>
        <w:t>sonable control.</w:t>
      </w:r>
      <w:r>
        <w:br/>
      </w:r>
      <w:r>
        <w:br/>
        <w:t>-----------------------------------------</w:t>
      </w:r>
      <w:r>
        <w:br/>
        <w:t>18. GOVERNING LAW &amp; JURISDICTION</w:t>
      </w:r>
      <w:r>
        <w:br/>
        <w:t>-----------------------------------------</w:t>
      </w:r>
      <w:r>
        <w:br/>
        <w:t>This Agreement governed by laws of India.</w:t>
      </w:r>
      <w:r>
        <w:br/>
        <w:t>Jurisdiction: Courts of Chennai.</w:t>
      </w:r>
      <w:r>
        <w:br/>
      </w:r>
      <w:r>
        <w:br/>
        <w:t>-----------------------------------------</w:t>
      </w:r>
      <w:r>
        <w:br/>
        <w:t>19. DISPUTE RESOLUTION</w:t>
      </w:r>
      <w:r>
        <w:br/>
        <w:t>-----------------------------------------</w:t>
      </w:r>
      <w:r>
        <w:br/>
        <w:t>Step 1: Senior Management Discussion</w:t>
      </w:r>
      <w:r>
        <w:br/>
        <w:t>Step 2: Mediation</w:t>
      </w:r>
      <w:r>
        <w:br/>
        <w:t>Step 3: Arbitration under Arbitration &amp; Conciliation Act, 1996.</w:t>
      </w:r>
      <w:r>
        <w:br/>
      </w:r>
      <w:r>
        <w:br/>
        <w:t>-----------------------------------------</w:t>
      </w:r>
      <w:r>
        <w:br/>
      </w:r>
      <w:r>
        <w:lastRenderedPageBreak/>
        <w:t>20. GENERAL PROVISIONS</w:t>
      </w:r>
      <w:r>
        <w:br/>
        <w:t>---------</w:t>
      </w:r>
      <w:r>
        <w:t>--------------------------------</w:t>
      </w:r>
      <w:r>
        <w:br/>
        <w:t>Entire Agreement Clause</w:t>
      </w:r>
      <w:r>
        <w:br/>
        <w:t>Amendments in writing only</w:t>
      </w:r>
      <w:r>
        <w:br/>
        <w:t>Severability</w:t>
      </w:r>
      <w:r>
        <w:br/>
        <w:t>Notices in writing</w:t>
      </w:r>
      <w:r>
        <w:br/>
        <w:t>Assignment restrictions</w:t>
      </w:r>
      <w:r>
        <w:br/>
      </w:r>
      <w:r>
        <w:br/>
        <w:t>-----------------------------------------</w:t>
      </w:r>
      <w:r>
        <w:br/>
        <w:t>ANNEXURE A – ESCALATION MATRIX</w:t>
      </w:r>
      <w:r>
        <w:br/>
        <w:t>-----------------------------------------</w:t>
      </w:r>
      <w:r>
        <w:br/>
        <w:t>Level 1: Support Desk (Response ≤ 2 hrs)</w:t>
      </w:r>
      <w:r>
        <w:br/>
        <w:t>Level 2: Technical Lead (Response ≤ 6 hrs)</w:t>
      </w:r>
      <w:r>
        <w:br/>
        <w:t>Level 3: Account Director (Response ≤ 24 hrs)</w:t>
      </w:r>
      <w:r>
        <w:br/>
      </w:r>
      <w:r>
        <w:br/>
        <w:t>-----------------------------------------</w:t>
      </w:r>
      <w:r>
        <w:br/>
        <w:t>ANNEXURE B – SECURITY CONTROLS SUMMARY</w:t>
      </w:r>
      <w:r>
        <w:br/>
        <w:t>-----------------------------------------</w:t>
      </w:r>
      <w:r>
        <w:br/>
        <w:t>IS</w:t>
      </w:r>
      <w:r>
        <w:t>O 27001 aligned controls</w:t>
      </w:r>
      <w:r>
        <w:br/>
        <w:t>Quarterly vulnerability assessments</w:t>
      </w:r>
      <w:r>
        <w:br/>
        <w:t>Annual penetration testing</w:t>
      </w:r>
      <w:r>
        <w:br/>
        <w:t>Cyber Insurance Coverage: INR 5 Crores</w:t>
      </w:r>
      <w:r>
        <w:br/>
      </w:r>
      <w:r>
        <w:br/>
        <w:t>-----------------------------------------</w:t>
      </w:r>
      <w:r>
        <w:br/>
        <w:t>SIGNATURES</w:t>
      </w:r>
      <w:r>
        <w:br/>
        <w:t>-----------------------------------------</w:t>
      </w:r>
      <w:r>
        <w:br/>
      </w:r>
      <w:r>
        <w:br/>
        <w:t>For Apollo Health Systems Pvt Ltd</w:t>
      </w:r>
      <w:r>
        <w:br/>
      </w:r>
      <w:r>
        <w:br/>
        <w:t>Name:</w:t>
      </w:r>
      <w:r>
        <w:br/>
        <w:t>Title:</w:t>
      </w:r>
      <w:r>
        <w:br/>
        <w:t>Signature:</w:t>
      </w:r>
      <w:r>
        <w:br/>
      </w:r>
      <w:r>
        <w:br/>
        <w:t>For MedTech AI Solutions Pvt Ltd</w:t>
      </w:r>
      <w:r>
        <w:br/>
      </w:r>
      <w:r>
        <w:br/>
        <w:t>Name:</w:t>
      </w:r>
      <w:r>
        <w:br/>
        <w:t>Title:</w:t>
      </w:r>
      <w:r>
        <w:br/>
        <w:t>Signature:</w:t>
      </w:r>
      <w:r>
        <w:br/>
      </w:r>
    </w:p>
    <w:sectPr w:rsidR="00CF1A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7738413">
    <w:abstractNumId w:val="8"/>
  </w:num>
  <w:num w:numId="2" w16cid:durableId="294800589">
    <w:abstractNumId w:val="6"/>
  </w:num>
  <w:num w:numId="3" w16cid:durableId="88281833">
    <w:abstractNumId w:val="5"/>
  </w:num>
  <w:num w:numId="4" w16cid:durableId="1186477088">
    <w:abstractNumId w:val="4"/>
  </w:num>
  <w:num w:numId="5" w16cid:durableId="116534563">
    <w:abstractNumId w:val="7"/>
  </w:num>
  <w:num w:numId="6" w16cid:durableId="1406495538">
    <w:abstractNumId w:val="3"/>
  </w:num>
  <w:num w:numId="7" w16cid:durableId="1206331580">
    <w:abstractNumId w:val="2"/>
  </w:num>
  <w:num w:numId="8" w16cid:durableId="398527984">
    <w:abstractNumId w:val="1"/>
  </w:num>
  <w:num w:numId="9" w16cid:durableId="1197157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14E"/>
    <w:rsid w:val="0015074B"/>
    <w:rsid w:val="002278B8"/>
    <w:rsid w:val="0029639D"/>
    <w:rsid w:val="002D6B0D"/>
    <w:rsid w:val="00326F90"/>
    <w:rsid w:val="00650889"/>
    <w:rsid w:val="008E340F"/>
    <w:rsid w:val="00AA1D8D"/>
    <w:rsid w:val="00B47730"/>
    <w:rsid w:val="00CB0664"/>
    <w:rsid w:val="00CF1A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FEA46D"/>
  <w14:defaultImageDpi w14:val="300"/>
  <w15:docId w15:val="{EAAE849D-81E5-4AFC-97AF-9F116C41E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992</Words>
  <Characters>5658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 dharshini</cp:lastModifiedBy>
  <cp:revision>5</cp:revision>
  <dcterms:created xsi:type="dcterms:W3CDTF">2026-03-02T07:42:00Z</dcterms:created>
  <dcterms:modified xsi:type="dcterms:W3CDTF">2026-03-02T07:43:00Z</dcterms:modified>
  <cp:category/>
</cp:coreProperties>
</file>