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académique</w:t>
      </w:r>
    </w:p>
    <w:p>
      <w:pPr>
        <w:jc w:val="center"/>
      </w:pPr>
      <w:r>
        <w:t>Cash Flow Forecasting &amp; Dashboard Interactif</w:t>
        <w:br/>
        <w:t>Projet : cash-flow-forecast (version académique)</w:t>
        <w:br/>
        <w:t>Périmètre : Prévision de trésorerie multi-devises, analyse des risques, recommandations et proposition digitale.</w:t>
      </w:r>
    </w:p>
    <w:p>
      <w:pPr>
        <w:pStyle w:val="Heading1"/>
      </w:pPr>
      <w:r>
        <w:t>1. Contexte &amp; Objectifs</w:t>
      </w:r>
    </w:p>
    <w:p>
      <w:r>
        <w:t>Enjeux : anticiper la trésorerie à 90 jours, détecter les risques de liquidité, intégrer la dette €20M (Euribor 3M + 1.2 %) et les sensibilités FX/taux.</w:t>
      </w:r>
    </w:p>
    <w:p>
      <w:r>
        <w:t>Contraintes : données CSV (transactions bancaires, factures clients/fournisseurs), multi-devises EUR/USD/JPY, architecture Streamlit déployée sur Streamlit Cloud.</w:t>
      </w:r>
    </w:p>
    <w:p>
      <w:r>
        <w:t>Objectifs : démonstration académique d’un cycle complet données → modèle → UI → recommandations, avec rigueur des calculs (DSO/DPO, inflation, volatilité) et UX épurée.</w:t>
      </w:r>
    </w:p>
    <w:p>
      <w:pPr>
        <w:pStyle w:val="Heading1"/>
      </w:pPr>
      <w:r>
        <w:t>2. Données &amp; Qualité</w:t>
      </w:r>
    </w:p>
    <w:p>
      <w:r>
        <w:t>Sources CSV : bank_transactions (date, account, currency, type, amount, category, counterparty), sales_invoices et purchase_invoices (issue_date, due_date, payment_date, amount, currency, status).</w:t>
      </w:r>
    </w:p>
    <w:p>
      <w:r>
        <w:t>Nettoyage : parsing des dates, vérification des fichiers, gestion des erreurs de parsing, conversions en EUR via API FX (fallback moyennes 2024).</w:t>
      </w:r>
    </w:p>
    <w:p>
      <w:r>
        <w:t>DSO/DPO : calculs sur factures payées uniquement, filtrage des dates invalides. Suppression du compte miroir EUR_Payroll (redondant avec EUR_Operating).</w:t>
      </w:r>
    </w:p>
    <w:p>
      <w:pPr>
        <w:pStyle w:val="Heading1"/>
      </w:pPr>
      <w:r>
        <w:t>3. Modélisation &amp; Méthodes</w:t>
      </w:r>
    </w:p>
    <w:p>
      <w:r>
        <w:t>Approche Direct Method (court terme ≤ 13 semaines) : projection transactionnelle avec patterns historiques + factures ouvertes.</w:t>
      </w:r>
    </w:p>
    <w:p>
      <w:r>
        <w:t>Classification : récurrent (Payroll, Supplier Payment, Loan Interest, Bank Fee, Tax Payment, Transfer to Payroll) vs non-récurrent.</w:t>
      </w:r>
    </w:p>
    <w:p>
      <w:r>
        <w:t>Saisonnalité : patterns hebdomadaires crédits/débits ; inflation estimée sur coûts récurrents (6 mois min, cap 10 %, fallback 2 %).</w:t>
      </w:r>
    </w:p>
    <w:p>
      <w:r>
        <w:t>Volatilité volumes : coefficients de variation sur encaissements/décaissements.</w:t>
      </w:r>
    </w:p>
    <w:p>
      <w:r>
        <w:t>Facteurs d’impact : inflation, volatilité, retards (Overdue), FX (USD, JPY), taux (Euribor 3M + 1.2 %).</w:t>
      </w:r>
    </w:p>
    <w:p>
      <w:r>
        <w:t>Multi-devises : calculs séparés EUR/USD/JPY, conversion finale en EUR ; soldes par compte (EUR_Operating, USD_Sales, JPY_Sales).</w:t>
      </w:r>
    </w:p>
    <w:p>
      <w:r>
        <w:t>Forecast quotidien (90 jours max) : base historique par jour de semaine, factures ouvertes (due_date + DSO/DPO), paiements récurrents (1er du mois, intérêts dette inclus si absents des données), ajustements inflation/volatilité, scénarios FX/taux.</w:t>
      </w:r>
    </w:p>
    <w:p>
      <w:r>
        <w:t>Risque : solde net = cash – dette €20M ; zones Safe / Warning / Critical ; pire jour et jours négatifs listés.</w:t>
      </w:r>
    </w:p>
    <w:p>
      <w:pPr>
        <w:pStyle w:val="Heading1"/>
      </w:pPr>
      <w:r>
        <w:t>4. Analyse Poste Client (DSO par client)</w:t>
      </w:r>
    </w:p>
    <w:p>
      <w:r>
        <w:t>DSO moyen par client (factures payées).</w:t>
      </w:r>
    </w:p>
    <w:p>
      <w:r>
        <w:t>Ageing des factures ouvertes : buckets 0-30 / 31-60 / 61-90 / &gt;90 par client.</w:t>
      </w:r>
    </w:p>
    <w:p>
      <w:r>
        <w:t>Synthèse par client : montants total / ouvert / overdue, DSO moyen ; top 10 expositions.</w:t>
      </w:r>
    </w:p>
    <w:p>
      <w:r>
        <w:t>Utilité : met en avant l’écoulement temporel des factures et la concentration du risque client.</w:t>
      </w:r>
    </w:p>
    <w:p>
      <w:pPr>
        <w:pStyle w:val="Heading1"/>
      </w:pPr>
      <w:r>
        <w:t>5. Visualisations &amp; UI</w:t>
      </w:r>
    </w:p>
    <w:p>
      <w:r>
        <w:t>Overview : KPIs, période, soldes par devise (sans EUR_Payroll).</w:t>
      </w:r>
    </w:p>
    <w:p>
      <w:r>
        <w:t>Calculs Détailés : formules, code Python, validations de colonnes ; histogramme DSO/DPO.</w:t>
      </w:r>
    </w:p>
    <w:p>
      <w:r>
        <w:t>Visualisations : cycles de trésorerie, patterns hebdomadaires, distribution par catégorie.</w:t>
      </w:r>
    </w:p>
    <w:p>
      <w:r>
        <w:t>Forecast &amp; Scénarios : graphes d’évolution, zones de risque, recommandations auto.</w:t>
      </w:r>
    </w:p>
    <w:p>
      <w:r>
        <w:t>Sensibilités : sliders EUR/USD, EUR/JPY, Euribor 3M avec impacts chiffrés.</w:t>
      </w:r>
    </w:p>
    <w:p>
      <w:r>
        <w:t>Mode prod “léger” : indicateurs de progression masqués par défaut ; toggle dev pour les afficher.</w:t>
      </w:r>
    </w:p>
    <w:p>
      <w:pPr>
        <w:pStyle w:val="Heading1"/>
      </w:pPr>
      <w:r>
        <w:t>6. Résultats clés (exemples)</w:t>
      </w:r>
    </w:p>
    <w:p>
      <w:r>
        <w:t>DSO/DPO : calculs sur factures payées ; écarts-types pour variabilité.</w:t>
      </w:r>
    </w:p>
    <w:p>
      <w:r>
        <w:t>Patterns : hebdomadaires (crédits/débits), inflation calculée si ≥ 6 mois (sinon 2 %).</w:t>
      </w:r>
    </w:p>
    <w:p>
      <w:r>
        <w:t>Forecast : 90 jours max, cash cumulé, solde net vs dette ; jours négatifs et critique listés.</w:t>
      </w:r>
    </w:p>
    <w:p>
      <w:r>
        <w:t>Sensibilités : variation ±5 % FX et ±200 bp Euribor 3M ; impacts sur expositions et intérêts mensuels.</w:t>
      </w:r>
    </w:p>
    <w:p>
      <w:r>
        <w:t>Risques : classification Safe/Warning/Critical et jours critiques identifiés.</w:t>
      </w:r>
    </w:p>
    <w:p>
      <w:pPr>
        <w:pStyle w:val="Heading1"/>
      </w:pPr>
      <w:r>
        <w:t>7. Recommandations</w:t>
      </w:r>
    </w:p>
    <w:p>
      <w:r>
        <w:t>Trésorerie &amp; DSO : relances ciblées, escomptes 1–2 % sur clients lents, monitoring top expositions, alertes DSO/overdue.</w:t>
      </w:r>
    </w:p>
    <w:p>
      <w:r>
        <w:t>DPO &amp; fournisseurs : négociations d’échéances, lissage des paiements récurrents, priorisation des critiques.</w:t>
      </w:r>
    </w:p>
    <w:p>
      <w:r>
        <w:t>Dette €20M : envisager hedging taux (IRS/Cap) ; suivre Euribor via le slider de sensibilités.</w:t>
      </w:r>
    </w:p>
    <w:p>
      <w:r>
        <w:t>FX : couvrir l’exposition USD/JPY (forwards, netting naturel) ; surveiller via sliders EUR/USD, EUR/JPY.</w:t>
      </w:r>
    </w:p>
    <w:p>
      <w:r>
        <w:t>Produit / UX : conserver l’UI prod allégée ; étendre l’analyse client à des alertes auto ; prévoir export PDF/Doc des rapports et scoring crédit simple.</w:t>
      </w:r>
    </w:p>
    <w:p>
      <w:pPr>
        <w:pStyle w:val="Heading1"/>
      </w:pPr>
      <w:r>
        <w:t>8. Proposition Digitale</w:t>
      </w:r>
    </w:p>
    <w:p>
      <w:r>
        <w:t>Stack : Streamlit, pandas, numpy, plotly ; API FX ; déploiement Streamlit Cloud.</w:t>
      </w:r>
    </w:p>
    <w:p>
      <w:r>
        <w:t>Référentiel : prizksaad-stack/cash-flow-forecast (branche main, à jour).</w:t>
      </w:r>
    </w:p>
    <w:p>
      <w:r>
        <w:t>Backlog court terme : alerting automatique (DSO client, overdue &gt; 60j, seuils cash) ; sensibilités enrichies ; export PDF/Doc ; module crédit client (score simple).</w:t>
      </w:r>
    </w:p>
    <w:p>
      <w:pPr>
        <w:pStyle w:val="Heading1"/>
      </w:pPr>
      <w:r>
        <w:t>9. Conclusion</w:t>
      </w:r>
    </w:p>
    <w:p>
      <w:r>
        <w:t>Le dispositif couvre la prévision court terme, le multi-devises, la dette variable, l’analyse poste client, les scénarios de risques et des recommandations actionnables.</w:t>
      </w:r>
    </w:p>
    <w:p>
      <w:r>
        <w:t>L’UX est adaptée au mode prod, avec des outils de sensibilités pour jouer les scénarios FX/taux et une vue détaillée des clients à risque (DSO, ageing).</w:t>
      </w:r>
    </w:p>
    <w:p>
      <w:r>
        <w:t>Le projet illustre un cycle complet données → modèle → UI → décisions, conforme aux attentes académiques et proche des pratiques éditeurs.</w:t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p>
      <w:r>
        <w:br/>
        <w:t>Pour chaque section, la profondeur analytique repose sur : (1) la rigueur de calcul (DSO/DPO réels, filtrage dates invalides, inflation capée), (2) la traçabilité (formules, code affiché dans le dashboard, validations de colonnes), (3) la mise en perspective risques (zones, jours critiques, sensibilité FX/taux). Le module poste client ajoute une dimension crédit élémentaire (DSO client, ageing) qui peut être étendue à un score combinant retard, montant overdue et concentration. Le mode prod allégé répond aux remarques UI (progress bars masquées par défaut), tout en conservant un mode dev activable. Les sensibilités EUR/USD, EUR/JPY et Euribor 3M permettent de jouer des scénarios de marché en temps réel ; les impacts chiffrés facilitent le dialogue avec les équipes finance et risk. Les prochaines itérations pourront inclure un moteur d’alertes (DSO par client, overdue &gt; 60j, seuils cash), un export automatique PDF/Doc du forecast et un scoring simple de crédit client pour prioriser les actions. La démarche respecte les attendus académiques : données → modèle → UI → recommandations, avec un focus sur la lisibilité, la justification des calculs et la capacité d’action.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