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NT1 Advanced-Therapy Model</w:t>
      </w:r>
    </w:p>
    <w:p>
      <w:pPr>
        <w:pStyle w:val="Subtitle"/>
      </w:pPr>
      <w:r>
        <w:t>Current findings and deep-learning evaluation plan</w:t>
      </w:r>
    </w:p>
    <w:p>
      <w:r>
        <w:rPr>
          <w:color w:val="5B6573"/>
          <w:sz w:val="20"/>
        </w:rPr>
        <w:t>Project brief  |  September 2026</w:t>
      </w:r>
    </w:p>
    <w:p>
      <w:pPr>
        <w:pStyle w:val="Callout"/>
        <w:shd w:fill="EAF2F8"/>
      </w:pPr>
      <w:r>
        <w:rPr>
          <w:b/>
        </w:rPr>
        <w:t xml:space="preserve">Main question: </w:t>
      </w:r>
      <w:r>
        <w:t>Can deep learning improve identification of NT1 patients who may move from generic therapy to advanced therapy within the next 90 days?</w:t>
      </w:r>
    </w:p>
    <w:p>
      <w:pPr>
        <w:pStyle w:val="Heading1"/>
        <w:keepNext/>
      </w:pPr>
      <w:r>
        <w:t>What the project does</w:t>
      </w:r>
    </w:p>
    <w:p>
      <w:r>
        <w:t>The model scores eligible NT1 patients and ranks those most likely to start an advanced therapy in the following 90 days. Scores can also be grouped by healthcare provider (HCP) to support focused field planning.</w:t>
      </w:r>
    </w:p>
    <w:p>
      <w:r>
        <w:t>This is an advanced-therapy readiness model built in the TAK-861 context. The current outcome is advanced-therapy use, not TAK-861 use itself.</w:t>
      </w:r>
    </w:p>
    <w:p>
      <w:pPr>
        <w:pStyle w:val="Heading1"/>
        <w:keepNext/>
      </w:pPr>
      <w:r>
        <w:t>Current approach</w:t>
      </w:r>
    </w:p>
    <w:p>
      <w:r>
        <w:t>The existing approach is LightGBM version V63, trained through Snowflake AutoML.</w:t>
      </w:r>
    </w:p>
    <w:p>
      <w:pPr>
        <w:pStyle w:val="ListBullet"/>
      </w:pPr>
      <w:r>
        <w:t>Identify eligible NT1 patients and create a monthly patient snapshot.</w:t>
      </w:r>
    </w:p>
    <w:p>
      <w:pPr>
        <w:pStyle w:val="ListBullet"/>
      </w:pPr>
      <w:r>
        <w:t>Summarize treatment, diagnosis, healthcare-use, plan, and HCP history before the snapshot.</w:t>
      </w:r>
    </w:p>
    <w:p>
      <w:pPr>
        <w:pStyle w:val="ListBullet"/>
      </w:pPr>
      <w:r>
        <w:t>Predict advanced-therapy use during the next 90 days.</w:t>
      </w:r>
    </w:p>
    <w:p>
      <w:pPr>
        <w:pStyle w:val="ListBullet"/>
      </w:pPr>
      <w:r>
        <w:t>Rank patients, measure lift in the highest-scoring groups, and explain scores with SHAP.</w:t>
      </w:r>
    </w:p>
    <w:p>
      <w:pPr>
        <w:pStyle w:val="ListBullet"/>
      </w:pPr>
      <w:r>
        <w:t>Aggregate high-scoring patients to HCP-level opportunity lists.</w:t>
      </w:r>
    </w:p>
    <w:p>
      <w:pPr>
        <w:pStyle w:val="Heading1"/>
        <w:keepNext/>
      </w:pPr>
      <w:r>
        <w:t>Cohort and outcome</w:t>
      </w:r>
    </w:p>
    <w:p>
      <w:r>
        <w:t>An eligible patient has:</w:t>
      </w:r>
    </w:p>
    <w:p>
      <w:pPr>
        <w:pStyle w:val="ListBullet"/>
      </w:pPr>
      <w:r>
        <w:t>at least one NT1 claim;</w:t>
      </w:r>
    </w:p>
    <w:p>
      <w:pPr>
        <w:pStyle w:val="ListBullet"/>
      </w:pPr>
      <w:r>
        <w:t>another NT1, NT2, or idiopathic-hypersomnia claim more than 90 days away;</w:t>
      </w:r>
    </w:p>
    <w:p>
      <w:pPr>
        <w:pStyle w:val="ListBullet"/>
      </w:pPr>
      <w:r>
        <w:t>generic therapy coverage on at least 135 of the previous 270 days; and</w:t>
      </w:r>
    </w:p>
    <w:p>
      <w:pPr>
        <w:pStyle w:val="ListBullet"/>
      </w:pPr>
      <w:r>
        <w:t>no advanced-therapy use before the snapshot.</w:t>
      </w:r>
    </w:p>
    <w:p>
      <w:r>
        <w:t>The label is 1 when an advanced-therapy claim occurs in the next 90 days and 0 when it does not. The current patient universe contains 23,151 rows; the backtest universe contains 44,949 rows.</w:t>
      </w:r>
    </w:p>
    <w:p>
      <w:r>
        <w:br w:type="page"/>
      </w:r>
    </w:p>
    <w:p>
      <w:pPr>
        <w:pStyle w:val="Heading1"/>
        <w:keepNext/>
      </w:pPr>
      <w:r>
        <w:t>Data and feature groups</w:t>
      </w:r>
    </w:p>
    <w:p>
      <w:r>
        <w:t>The confirmed inputs are medical claims, pharmacy claims, therapy mappings, plan data, and HCP information. The current feature table contains:</w:t>
      </w:r>
    </w:p>
    <w:p>
      <w:pPr>
        <w:pStyle w:val="ListBullet"/>
      </w:pPr>
      <w:r>
        <w:t>generic therapy coverage, gaps, changes, and discontinuations;</w:t>
      </w:r>
    </w:p>
    <w:p>
      <w:pPr>
        <w:pStyle w:val="ListBullet"/>
      </w:pPr>
      <w:r>
        <w:t>time since first generic fill and number of generic therapies tried;</w:t>
      </w:r>
    </w:p>
    <w:p>
      <w:pPr>
        <w:pStyle w:val="ListBullet"/>
      </w:pPr>
      <w:r>
        <w:t>NT1 diagnosis history and recent diagnosis activity;</w:t>
      </w:r>
    </w:p>
    <w:p>
      <w:pPr>
        <w:pStyle w:val="ListBullet"/>
      </w:pPr>
      <w:r>
        <w:t>symptom and comorbidity claims over 3- and 12-month windows;</w:t>
      </w:r>
    </w:p>
    <w:p>
      <w:pPr>
        <w:pStyle w:val="ListBullet"/>
      </w:pPr>
      <w:r>
        <w:t>emergency, urgent-care, and specialist visits;</w:t>
      </w:r>
    </w:p>
    <w:p>
      <w:pPr>
        <w:pStyle w:val="ListBullet"/>
      </w:pPr>
      <w:r>
        <w:t>plan payment, rejection, patient-cost, and therapy-control measures;</w:t>
      </w:r>
    </w:p>
    <w:p>
      <w:pPr>
        <w:pStyle w:val="ListBullet"/>
      </w:pPr>
      <w:r>
        <w:t>HCP advanced-therapy prescribing history;</w:t>
      </w:r>
    </w:p>
    <w:p>
      <w:pPr>
        <w:pStyle w:val="ListBullet"/>
      </w:pPr>
      <w:r>
        <w:t>gender indicators; and</w:t>
      </w:r>
    </w:p>
    <w:p>
      <w:pPr>
        <w:pStyle w:val="ListBullet"/>
      </w:pPr>
      <w:r>
        <w:t>short sequences of diagnosis, procedure, and pharmacy codes.</w:t>
      </w:r>
    </w:p>
    <w:p>
      <w:pPr>
        <w:pStyle w:val="Heading1"/>
        <w:keepNext/>
      </w:pPr>
      <w:r>
        <w:t>Suitable deep-learning models</w:t>
      </w:r>
    </w:p>
    <w:p>
      <w:pPr>
        <w:pStyle w:val="ListBullet"/>
      </w:pPr>
      <w:r>
        <w:rPr>
          <w:b/>
        </w:rPr>
        <w:t xml:space="preserve">MLP — </w:t>
      </w:r>
      <w:r>
        <w:t>a simple neural baseline using the existing wide feature table.</w:t>
      </w:r>
    </w:p>
    <w:p>
      <w:pPr>
        <w:pStyle w:val="ListBullet"/>
      </w:pPr>
      <w:r>
        <w:rPr>
          <w:b/>
        </w:rPr>
        <w:t xml:space="preserve">FT-Transformer — </w:t>
      </w:r>
      <w:r>
        <w:t>tests interactions among numeric and categorical patient features.</w:t>
      </w:r>
    </w:p>
    <w:p>
      <w:pPr>
        <w:pStyle w:val="ListBullet"/>
      </w:pPr>
      <w:r>
        <w:rPr>
          <w:b/>
        </w:rPr>
        <w:t xml:space="preserve">GRU or LSTM — </w:t>
      </w:r>
      <w:r>
        <w:t>learns from claims in date order; GRU is the preferred first sequence model because it is smaller and faster.</w:t>
      </w:r>
    </w:p>
    <w:p>
      <w:pPr>
        <w:pStyle w:val="ListBullet"/>
      </w:pPr>
      <w:r>
        <w:rPr>
          <w:b/>
        </w:rPr>
        <w:t xml:space="preserve">Temporal Transformer — </w:t>
      </w:r>
      <w:r>
        <w:t>learns longer event patterns using claim codes, event types, dates, and time gaps.</w:t>
      </w:r>
    </w:p>
    <w:p>
      <w:pPr>
        <w:pStyle w:val="ListBullet"/>
      </w:pPr>
      <w:r>
        <w:rPr>
          <w:b/>
        </w:rPr>
        <w:t xml:space="preserve">Hybrid model — </w:t>
      </w:r>
      <w:r>
        <w:t>combines a GRU or Transformer sequence representation with the existing engineered features.</w:t>
      </w:r>
    </w:p>
    <w:p>
      <w:pPr>
        <w:pStyle w:val="Callout"/>
        <w:shd w:fill="EAF2F8"/>
      </w:pPr>
      <w:r>
        <w:rPr>
          <w:b/>
        </w:rPr>
        <w:t xml:space="preserve">Best first deep-learning candidate: </w:t>
      </w:r>
      <w:r>
        <w:t>GRU, followed by a hybrid GRU plus engineered-feature model. This directly tests whether the order and timing of claims add value beyond V63.</w:t>
      </w:r>
    </w:p>
    <w:p>
      <w:r>
        <w:br w:type="page"/>
      </w:r>
    </w:p>
    <w:p>
      <w:pPr>
        <w:pStyle w:val="Heading1"/>
        <w:keepNext/>
      </w:pPr>
      <w:r>
        <w:t>Implementation plan</w:t>
      </w:r>
    </w:p>
    <w:p>
      <w:pPr>
        <w:pStyle w:val="ListNumber"/>
      </w:pPr>
      <w:r>
        <w:rPr>
          <w:b/>
        </w:rPr>
        <w:t xml:space="preserve">Freeze the benchmark. </w:t>
      </w:r>
      <w:r>
        <w:t>Use the same cohort, labels, time periods, and patient-level splits for every model.</w:t>
      </w:r>
    </w:p>
    <w:p>
      <w:pPr>
        <w:pStyle w:val="ListNumber"/>
      </w:pPr>
      <w:r>
        <w:rPr>
          <w:b/>
        </w:rPr>
        <w:t xml:space="preserve">Reproduce V63. </w:t>
      </w:r>
      <w:r>
        <w:t>Record LightGBM accuracy, ranking performance, calibration, and scoring time as the reference.</w:t>
      </w:r>
    </w:p>
    <w:p>
      <w:pPr>
        <w:pStyle w:val="ListNumber"/>
      </w:pPr>
      <w:r>
        <w:rPr>
          <w:b/>
        </w:rPr>
        <w:t xml:space="preserve">Create two inputs. </w:t>
      </w:r>
      <w:r>
        <w:t>Prepare the current wide feature table and a chronological pre-snapshot claims sequence.</w:t>
      </w:r>
    </w:p>
    <w:p>
      <w:pPr>
        <w:pStyle w:val="ListNumber"/>
      </w:pPr>
      <w:r>
        <w:rPr>
          <w:b/>
        </w:rPr>
        <w:t xml:space="preserve">Train in stages. </w:t>
      </w:r>
      <w:r>
        <w:t>Test MLP first, then GRU and a compact Transformer, followed by the hybrid model.</w:t>
      </w:r>
    </w:p>
    <w:p>
      <w:pPr>
        <w:pStyle w:val="ListNumber"/>
      </w:pPr>
      <w:r>
        <w:rPr>
          <w:b/>
        </w:rPr>
        <w:t xml:space="preserve">Handle the rare outcome. </w:t>
      </w:r>
      <w:r>
        <w:t>Use class weighting or focal loss, validation-based early stopping, and careful sampling.</w:t>
      </w:r>
    </w:p>
    <w:p>
      <w:pPr>
        <w:pStyle w:val="ListNumber"/>
      </w:pPr>
      <w:r>
        <w:rPr>
          <w:b/>
        </w:rPr>
        <w:t xml:space="preserve">Measure field value. </w:t>
      </w:r>
      <w:r>
        <w:t>Compare PR-AUC, lift, precision, and recall in the top 5%, 10%, and 20% of scores.</w:t>
      </w:r>
    </w:p>
    <w:p>
      <w:pPr>
        <w:pStyle w:val="ListNumber"/>
      </w:pPr>
      <w:r>
        <w:rPr>
          <w:b/>
        </w:rPr>
        <w:t xml:space="preserve">Check reliability. </w:t>
      </w:r>
      <w:r>
        <w:t>Review calibration, monthly stability, bootstrap confidence intervals, and scoring cost.</w:t>
      </w:r>
    </w:p>
    <w:p>
      <w:pPr>
        <w:pStyle w:val="ListNumber"/>
      </w:pPr>
      <w:r>
        <w:rPr>
          <w:b/>
        </w:rPr>
        <w:t xml:space="preserve">Keep explanations usable. </w:t>
      </w:r>
      <w:r>
        <w:t>Use SHAP for tabular features and ablation or integrated gradients for sequence models.</w:t>
      </w:r>
    </w:p>
    <w:p>
      <w:pPr>
        <w:pStyle w:val="ListNumber"/>
      </w:pPr>
      <w:r>
        <w:rPr>
          <w:b/>
        </w:rPr>
        <w:t xml:space="preserve">Select on evidence. </w:t>
      </w:r>
      <w:r>
        <w:t>Use deep learning only if it delivers stable out-of-time improvement at the same outreach capacity.</w:t>
      </w:r>
    </w:p>
    <w:p>
      <w:pPr>
        <w:pStyle w:val="Heading1"/>
        <w:keepNext/>
      </w:pPr>
      <w:r>
        <w:t>Recommended first experiment</w:t>
      </w:r>
    </w:p>
    <w:p>
      <w:r>
        <w:t>Run these models on exactly the same cohort and backtest:</w:t>
      </w:r>
    </w:p>
    <w:p>
      <w:pPr>
        <w:pStyle w:val="ListBullet"/>
      </w:pPr>
      <w:r>
        <w:t>LightGBM V63 as the current benchmark;</w:t>
      </w:r>
    </w:p>
    <w:p>
      <w:pPr>
        <w:pStyle w:val="ListBullet"/>
      </w:pPr>
      <w:r>
        <w:t>GRU using chronological claims; and</w:t>
      </w:r>
    </w:p>
    <w:p>
      <w:pPr>
        <w:pStyle w:val="ListBullet"/>
      </w:pPr>
      <w:r>
        <w:t>hybrid GRU plus the existing engineered features.</w:t>
      </w:r>
    </w:p>
    <w:p>
      <w:pPr>
        <w:pStyle w:val="Callout"/>
        <w:shd w:fill="EAF2F8"/>
      </w:pPr>
      <w:r>
        <w:rPr>
          <w:b/>
        </w:rPr>
        <w:t xml:space="preserve">Decision rule: </w:t>
      </w:r>
      <w:r>
        <w:t>Recommend deep learning only when the improvement is consistent in the out-of-time backtest and meaningful in the highest-priority patient groups.</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ind w:left="259" w:right="259"/>
    </w:pPr>
    <w:rPr>
      <w:rFonts w:ascii="Calibri" w:hAnsi="Calibri"/>
      <w:color w:val="1F4D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NT1 Advanced-Therapy Model: Current Findings and Deep-Learning Plan</dc:title>
  <dc:subject>Short project findings and deep-learning evaluation plan</dc:subject>
  <dc:creator>Claims Analytics Team</dc:creator>
  <cp:keywords>NT1, advanced therapy, LightGBM, GRU, deep learning</cp:keywords>
  <dc:description>generated by python-docx</dc:description>
  <cp:lastModifiedBy/>
  <cp:revision>1</cp:revision>
  <dcterms:created xsi:type="dcterms:W3CDTF">2013-12-23T23:15:00Z</dcterms:created>
  <dcterms:modified xsi:type="dcterms:W3CDTF">2013-12-23T23:15:00Z</dcterms:modified>
  <cp:category/>
</cp:coreProperties>
</file>