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5. Ley 53/1984, Incompatibilidades</w:t>
      </w:r>
    </w:p>
    <w:p>
      <w:pPr>
        <w:pStyle w:val="Heading1"/>
        <w:spacing w:after="150" w:before="300"/>
      </w:pPr>
      <w:r>
        <w:t xml:space="preserve">Tema 5: Ley 53/1984, de 26 de diciembre, de Incompatibilidades del Personal al Servicio de las Administraciones Públicas</w:t>
      </w:r>
    </w:p>
    <w:p>
      <w:pPr>
        <w:pStyle w:val="Heading2"/>
        <w:spacing w:after="120" w:before="260"/>
      </w:pPr>
      <w:r>
        <w:t xml:space="preserve">1. Introducción y finalidad de la ley</w:t>
      </w:r>
    </w:p>
    <w:p>
      <w:pPr>
        <w:spacing w:after="120"/>
        <w:jc w:val="both"/>
      </w:pPr>
      <w:r>
        <w:t xml:space="preserve">La Ley 53/1984 es una norma corta (20 artículos, 9 disposiciones adicionales, 10 transitorias, 3 finales y 1 derogatoria) pero muy densa en matices, y por eso es una de las leyes "trampa" más frecuentes en los exámenes de auxiliar administrativo. Su objetivo, declarado en la Exposición de Motivos, es garantizar que el empleado público cumpla su trabajo con </w:t>
      </w:r>
      <w:r>
        <w:rPr>
          <w:b/>
          <w:bCs/>
        </w:rPr>
        <w:t xml:space="preserve">dedicación, eficacia e imparcialidad</w:t>
      </w:r>
      <w:r>
        <w:t xml:space="preserve">, evitando que acumule puestos o actividades que:</w:t>
      </w:r>
    </w:p>
    <w:p>
      <w:pPr>
        <w:pStyle w:val="ListParagraph"/>
        <w:numPr>
          <w:ilvl w:val="0"/>
          <w:numId w:val="2"/>
        </w:numPr>
        <w:spacing w:after="60"/>
      </w:pPr>
      <w:r>
        <w:t xml:space="preserve">le impidan cumplir estrictamente sus deberes,</w:t>
      </w:r>
    </w:p>
    <w:p>
      <w:pPr>
        <w:pStyle w:val="ListParagraph"/>
        <w:numPr>
          <w:ilvl w:val="0"/>
          <w:numId w:val="2"/>
        </w:numPr>
        <w:spacing w:after="60"/>
      </w:pPr>
      <w:r>
        <w:t xml:space="preserve">comprometan su imparcialidad o independencia,</w:t>
      </w:r>
    </w:p>
    <w:p>
      <w:pPr>
        <w:pStyle w:val="ListParagraph"/>
        <w:numPr>
          <w:ilvl w:val="0"/>
          <w:numId w:val="2"/>
        </w:numPr>
        <w:spacing w:after="60"/>
      </w:pPr>
      <w:r>
        <w:t xml:space="preserve">o supongan un enriquecimiento indebido a costa de fondos públicos (percibir dos sueldos públicos "por hacer lo mismo dos veces").</w:t>
      </w:r>
    </w:p>
    <w:p>
      <w:pPr>
        <w:spacing w:after="120"/>
        <w:jc w:val="both"/>
      </w:pPr>
      <w:r>
        <w:t xml:space="preserve">⚠️ </w:t>
      </w:r>
      <w:r>
        <w:rPr>
          <w:b/>
          <w:bCs/>
        </w:rPr>
        <w:t xml:space="preserve">MUY PREGUNTADO EN EXAMEN</w:t>
      </w:r>
      <w:r>
        <w:t xml:space="preserve">: la ley no prohíbe "trabajar en lo privado" de forma absoluta ni exige "dedicación exclusiva" total; establece un </w:t>
      </w:r>
      <w:r>
        <w:rPr>
          <w:b/>
          <w:bCs/>
        </w:rPr>
        <w:t xml:space="preserve">régimen de incompatibilidad como regla general</w:t>
      </w:r>
      <w:r>
        <w:t xml:space="preserve">, que admite </w:t>
      </w:r>
      <w:r>
        <w:rPr>
          <w:b/>
          <w:bCs/>
        </w:rPr>
        <w:t xml:space="preserve">excepciones tasadas y previa autorización administrativa</w:t>
      </w:r>
      <w:r>
        <w:t xml:space="preserve">. Es decir: </w:t>
      </w:r>
      <w:r>
        <w:rPr>
          <w:b/>
          <w:bCs/>
        </w:rPr>
        <w:t xml:space="preserve">la compatibilidad no es automática, hay que solicitarla y que te la concedan</w:t>
      </w:r>
      <w:r>
        <w:t xml:space="preserve">.</w:t>
      </w:r>
    </w:p>
    <w:p>
      <w:pPr>
        <w:pStyle w:val="Heading2"/>
        <w:spacing w:after="120" w:before="260"/>
      </w:pPr>
      <w:r>
        <w:t xml:space="preserve">2. Principio general (artículo 1)</w:t>
      </w:r>
    </w:p>
    <w:p>
      <w:pPr>
        <w:spacing w:after="120"/>
        <w:jc w:val="both"/>
      </w:pPr>
      <w:r>
        <w:t xml:space="preserve">El artículo 1 fija la regla matriz de toda la ley: el personal comprendido en su ámbito </w:t>
      </w:r>
      <w:r>
        <w:rPr>
          <w:b/>
          <w:bCs/>
        </w:rPr>
        <w:t xml:space="preserve">no puede compatibilizar sus actividades con un segundo puesto, cargo o actividad en el sector público</w:t>
      </w:r>
      <w:r>
        <w:t xml:space="preserve">, salvo en los supuestos que la propia ley prevé. Añade dos ideas clave:</w:t>
      </w:r>
    </w:p>
    <w:p>
      <w:pPr>
        <w:pStyle w:val="ListParagraph"/>
        <w:numPr>
          <w:ilvl w:val="0"/>
          <w:numId w:val="3"/>
        </w:numPr>
        <w:spacing w:after="60"/>
      </w:pPr>
      <w:r>
        <w:rPr>
          <w:b/>
          <w:bCs/>
        </w:rPr>
        <w:t xml:space="preserve">No se puede percibir más de una remuneración con cargo a los presupuestos de las Administraciones Públicas</w:t>
      </w:r>
      <w:r>
        <w:t xml:space="preserve"> (salvo las excepciones legales), ni de organismos, entes o empresas del sector público.</w:t>
      </w:r>
    </w:p>
    <w:p>
      <w:pPr>
        <w:pStyle w:val="ListParagraph"/>
        <w:numPr>
          <w:ilvl w:val="0"/>
          <w:numId w:val="3"/>
        </w:numPr>
        <w:spacing w:after="60"/>
      </w:pPr>
      <w:r>
        <w:t xml:space="preserve">Es incompatible </w:t>
      </w:r>
      <w:r>
        <w:rPr>
          <w:b/>
          <w:bCs/>
        </w:rPr>
        <w:t xml:space="preserve">cualquier actividad</w:t>
      </w:r>
      <w:r>
        <w:t xml:space="preserve">, pública o privada, que por sí sola o en unión con las que ya desempeña, </w:t>
      </w:r>
      <w:r>
        <w:rPr>
          <w:b/>
          <w:bCs/>
        </w:rPr>
        <w:t xml:space="preserve">impida o menoscabe el estricto cumplimiento de sus deberes o comprometa su imparcialidad o independencia</w:t>
      </w:r>
      <w:r>
        <w:t xml:space="preserve">.</w:t>
      </w:r>
    </w:p>
    <w:p>
      <w:pPr>
        <w:spacing w:after="120"/>
        <w:jc w:val="both"/>
      </w:pPr>
      <w:r>
        <w:t xml:space="preserve">Ejemplo práctico: un auxiliar administrativo de la Universidad de Almería que, además, trabaja como funcionario a jornada completa en un Ayuntamiento, está en situación de incompatibilidad automática salvo que exista una autorización expresa (que, en ese caso concreto, sería muy difícil de conseguir).</w:t>
      </w:r>
    </w:p>
    <w:p>
      <w:pPr>
        <w:pStyle w:val="Heading2"/>
        <w:spacing w:after="120" w:before="260"/>
      </w:pPr>
      <w:r>
        <w:t xml:space="preserve">3. Ámbito de aplicación (artículo 2)</w:t>
      </w:r>
    </w:p>
    <w:p>
      <w:pPr>
        <w:spacing w:after="120"/>
        <w:jc w:val="both"/>
      </w:pPr>
      <w:r>
        <w:t xml:space="preserve">La ley se aplica a un elenco muy amplio de personal, lo que suele generar preguntas de "¿a quién afecta?". Están incluidos, entre otros:</w:t>
      </w:r>
    </w:p>
    <w:p>
      <w:pPr>
        <w:pStyle w:val="ListParagraph"/>
        <w:numPr>
          <w:ilvl w:val="0"/>
          <w:numId w:val="2"/>
        </w:numPr>
        <w:spacing w:after="60"/>
      </w:pPr>
      <w:r>
        <w:t xml:space="preserve">Personal civil y militar de la Administración del Estado y de los organismos públicos vinculados.</w:t>
      </w:r>
    </w:p>
    <w:p>
      <w:pPr>
        <w:pStyle w:val="ListParagraph"/>
        <w:numPr>
          <w:ilvl w:val="0"/>
          <w:numId w:val="2"/>
        </w:numPr>
        <w:spacing w:after="60"/>
      </w:pPr>
      <w:r>
        <w:t xml:space="preserve">Personal al servicio de las Comunidades Autónomas.</w:t>
      </w:r>
    </w:p>
    <w:p>
      <w:pPr>
        <w:pStyle w:val="ListParagraph"/>
        <w:numPr>
          <w:ilvl w:val="0"/>
          <w:numId w:val="2"/>
        </w:numPr>
        <w:spacing w:after="60"/>
      </w:pPr>
      <w:r>
        <w:t xml:space="preserve">Personal al servicio de las Corporaciones Locales.</w:t>
      </w:r>
    </w:p>
    <w:p>
      <w:pPr>
        <w:pStyle w:val="ListParagraph"/>
        <w:numPr>
          <w:ilvl w:val="0"/>
          <w:numId w:val="2"/>
        </w:numPr>
        <w:spacing w:after="60"/>
      </w:pPr>
      <w:r>
        <w:t xml:space="preserve">Personal al servicio de la Administración de Justicia.</w:t>
      </w:r>
    </w:p>
    <w:p>
      <w:pPr>
        <w:pStyle w:val="ListParagraph"/>
        <w:numPr>
          <w:ilvl w:val="0"/>
          <w:numId w:val="2"/>
        </w:numPr>
        <w:spacing w:after="60"/>
      </w:pPr>
      <w:r>
        <w:t xml:space="preserve">Personal al servicio de la Seguridad Social.</w:t>
      </w:r>
    </w:p>
    <w:p>
      <w:pPr>
        <w:pStyle w:val="ListParagraph"/>
        <w:numPr>
          <w:ilvl w:val="0"/>
          <w:numId w:val="2"/>
        </w:numPr>
        <w:spacing w:after="60"/>
      </w:pPr>
      <w:r>
        <w:t xml:space="preserve">Personal al servicio de entidades, corporaciones de derecho público, fundaciones y consorcios cuyo presupuesto se dote mayoritariamente con fondos públicos.</w:t>
      </w:r>
    </w:p>
    <w:p>
      <w:pPr>
        <w:pStyle w:val="ListParagraph"/>
        <w:numPr>
          <w:ilvl w:val="0"/>
          <w:numId w:val="2"/>
        </w:numPr>
        <w:spacing w:after="60"/>
      </w:pPr>
      <w:r>
        <w:t xml:space="preserve">Personal de empresas participadas mayoritariamente (más del 50%), directa o indirectamente, por las Administraciones Públicas.</w:t>
      </w:r>
    </w:p>
    <w:p>
      <w:pPr>
        <w:pStyle w:val="ListParagraph"/>
        <w:numPr>
          <w:ilvl w:val="0"/>
          <w:numId w:val="2"/>
        </w:numPr>
        <w:spacing w:after="60"/>
      </w:pPr>
      <w:r>
        <w:t xml:space="preserve">Personal del Banco de España y de las instituciones financieras públicas.</w:t>
      </w:r>
    </w:p>
    <w:p>
      <w:pPr>
        <w:pStyle w:val="ListParagraph"/>
        <w:numPr>
          <w:ilvl w:val="0"/>
          <w:numId w:val="2"/>
        </w:numPr>
        <w:spacing w:after="60"/>
      </w:pPr>
      <w:r>
        <w:t xml:space="preserve">El resto del personal al servicio de los órganos constitucionales del Estado (con sus propias normas específicas de desarrollo).</w:t>
      </w:r>
    </w:p>
    <w:p>
      <w:pPr>
        <w:spacing w:after="120"/>
        <w:jc w:val="both"/>
      </w:pPr>
      <w:r>
        <w:t xml:space="preserve">⚠️ </w:t>
      </w:r>
      <w:r>
        <w:rPr>
          <w:b/>
          <w:bCs/>
        </w:rPr>
        <w:t xml:space="preserve">MUY PREGUNTADO</w:t>
      </w:r>
      <w:r>
        <w:t xml:space="preserve">: el criterio determinante para las empresas y entidades del sector "parapúblico" es la </w:t>
      </w:r>
      <w:r>
        <w:rPr>
          <w:b/>
          <w:bCs/>
        </w:rPr>
        <w:t xml:space="preserve">participación pública mayoritaria (más del 50%)</w:t>
      </w:r>
      <w:r>
        <w:t xml:space="preserve">, no cualquier grado de participación.</w:t>
      </w:r>
    </w:p>
    <w:p>
      <w:pPr>
        <w:pStyle w:val="Heading2"/>
        <w:spacing w:after="120" w:before="260"/>
      </w:pPr>
      <w:r>
        <w:t xml:space="preserve">4. Compatibilidad entre dos puestos del sector público (Capítulo III, arts. 3 a 10)</w:t>
      </w:r>
    </w:p>
    <w:p>
      <w:pPr>
        <w:spacing w:after="120"/>
        <w:jc w:val="both"/>
      </w:pPr>
      <w:r>
        <w:t xml:space="preserve">Esta es la parte más preguntada de toda la ley, porque combina la regla general con muchas excepciones.</w:t>
      </w:r>
    </w:p>
    <w:p>
      <w:pPr>
        <w:pStyle w:val="Heading3"/>
        <w:spacing w:after="100" w:before="200"/>
      </w:pPr>
      <w:r>
        <w:t xml:space="preserve">4.1. Regla general y la gran excepción: docencia y sanidad (art. 3)</w:t>
      </w:r>
    </w:p>
    <w:p>
      <w:pPr>
        <w:spacing w:after="120"/>
        <w:jc w:val="both"/>
      </w:pPr>
      <w:r>
        <w:t xml:space="preserve">Como regla, </w:t>
      </w:r>
      <w:r>
        <w:rPr>
          <w:b/>
          <w:bCs/>
        </w:rPr>
        <w:t xml:space="preserve">solo se puede autorizar un segundo puesto público</w:t>
      </w:r>
      <w:r>
        <w:t xml:space="preserve"> en dos ámbitos: </w:t>
      </w:r>
      <w:r>
        <w:rPr>
          <w:b/>
          <w:bCs/>
        </w:rPr>
        <w:t xml:space="preserve">actividades docentes</w:t>
      </w:r>
      <w:r>
        <w:t xml:space="preserve"> y </w:t>
      </w:r>
      <w:r>
        <w:rPr>
          <w:b/>
          <w:bCs/>
        </w:rPr>
        <w:t xml:space="preserve">actividades sanitarias</w:t>
      </w:r>
      <w:r>
        <w:t xml:space="preserve"> (o cuando el Consejo de Ministros, de forma excepcional, lo autorice por razones de interés público). En todo caso, siempre hace falta </w:t>
      </w:r>
      <w:r>
        <w:rPr>
          <w:b/>
          <w:bCs/>
        </w:rPr>
        <w:t xml:space="preserve">autorización expresa y previa</w:t>
      </w:r>
      <w:r>
        <w:t xml:space="preserve"> de compatibilidad; nunca es automática.</w:t>
      </w:r>
    </w:p>
    <w:p>
      <w:pPr>
        <w:spacing w:after="120"/>
        <w:jc w:val="both"/>
      </w:pPr>
      <w:r>
        <w:t xml:space="preserve">Además, el artículo 3.2 establece otra regla muy importante: es </w:t>
      </w:r>
      <w:r>
        <w:rPr>
          <w:b/>
          <w:bCs/>
        </w:rPr>
        <w:t xml:space="preserve">incompatible el desempeño de un puesto público con la percepción de pensión de jubilación o retiro</w:t>
      </w:r>
      <w:r>
        <w:t xml:space="preserve"> (o pensión de derechos pasivos), salvo el supuesto de </w:t>
      </w:r>
      <w:r>
        <w:rPr>
          <w:b/>
          <w:bCs/>
        </w:rPr>
        <w:t xml:space="preserve">jubilación parcial</w:t>
      </w:r>
      <w:r>
        <w:t xml:space="preserve">, en el que sí cabe compatibilizar la pensión con un puesto de trabajo a tiempo parcial.</w:t>
      </w:r>
    </w:p>
    <w:p>
      <w:pPr>
        <w:spacing w:after="120"/>
        <w:jc w:val="both"/>
      </w:pPr>
      <w:r>
        <w:t xml:space="preserve">Ejemplo práctico: un profesor jubilado no puede seguir cobrando la pensión de jubilación y, a la vez, ocupar una plaza pública a tiempo completo; sí podría hacerlo si se acoge a la jubilación parcial regulada en su régimen correspondiente.</w:t>
      </w:r>
    </w:p>
    <w:p>
      <w:pPr>
        <w:pStyle w:val="Heading3"/>
        <w:spacing w:after="100" w:before="200"/>
      </w:pPr>
      <w:r>
        <w:t xml:space="preserve">4.2. Excepciones concretas de docencia e investigación (arts. 4 y 6)</w:t>
      </w:r>
    </w:p>
    <w:p>
      <w:pPr>
        <w:pStyle w:val="ListParagraph"/>
        <w:numPr>
          <w:ilvl w:val="0"/>
          <w:numId w:val="2"/>
        </w:numPr>
        <w:spacing w:after="60"/>
      </w:pPr>
      <w:r>
        <w:rPr>
          <w:b/>
          <w:bCs/>
        </w:rPr>
        <w:t xml:space="preserve">Art. 4</w:t>
      </w:r>
      <w:r>
        <w:t xml:space="preserve">: se autoriza compatibilizar un puesto público con el de </w:t>
      </w:r>
      <w:r>
        <w:rPr>
          <w:b/>
          <w:bCs/>
        </w:rPr>
        <w:t xml:space="preserve">Profesor universitario asociado</w:t>
      </w:r>
      <w:r>
        <w:t xml:space="preserve">, siempre que la dedicación docente no sea superior a tiempo parcial. También se permite a catedráticos y profesores universitarios compatibilizar su cátedra con puestos asistenciales sanitarios o de investigación, y se extiende a profesorado de Escuelas de Enfermería y de Enseñanzas Artísticas en condiciones similares.</w:t>
      </w:r>
    </w:p>
    <w:p>
      <w:pPr>
        <w:pStyle w:val="ListParagraph"/>
        <w:numPr>
          <w:ilvl w:val="0"/>
          <w:numId w:val="2"/>
        </w:numPr>
        <w:spacing w:after="60"/>
      </w:pPr>
      <w:r>
        <w:rPr>
          <w:b/>
          <w:bCs/>
        </w:rPr>
        <w:t xml:space="preserve">Art. 6</w:t>
      </w:r>
      <w:r>
        <w:t xml:space="preserve">: de forma </w:t>
      </w:r>
      <w:r>
        <w:rPr>
          <w:b/>
          <w:bCs/>
        </w:rPr>
        <w:t xml:space="preserve">excepcional</w:t>
      </w:r>
      <w:r>
        <w:t xml:space="preserve">, cabe autorizar la compatibilidad con actividades de </w:t>
      </w:r>
      <w:r>
        <w:rPr>
          <w:b/>
          <w:bCs/>
        </w:rPr>
        <w:t xml:space="preserve">investigación de carácter no permanente</w:t>
      </w:r>
      <w:r>
        <w:t xml:space="preserve"> o de </w:t>
      </w:r>
      <w:r>
        <w:rPr>
          <w:b/>
          <w:bCs/>
        </w:rPr>
        <w:t xml:space="preserve">asesoramiento científico o técnico</w:t>
      </w:r>
      <w:r>
        <w:t xml:space="preserve">, en supuestos concretos (por ejemplo, tras concurso público) y siempre que quede garantizado el cumplimiento de las tareas del puesto principal.</w:t>
      </w:r>
    </w:p>
    <w:p>
      <w:pPr>
        <w:spacing w:after="120"/>
        <w:jc w:val="both"/>
      </w:pPr>
      <w:r>
        <w:t xml:space="preserve">⚠️ </w:t>
      </w:r>
      <w:r>
        <w:rPr>
          <w:b/>
          <w:bCs/>
        </w:rPr>
        <w:t xml:space="preserve">MUY PREGUNTADO</w:t>
      </w:r>
      <w:r>
        <w:t xml:space="preserve">: la figura estrella de este bloque es el </w:t>
      </w:r>
      <w:r>
        <w:rPr>
          <w:b/>
          <w:bCs/>
        </w:rPr>
        <w:t xml:space="preserve">"Profesor Universitario Asociado a tiempo parcial"</w:t>
      </w:r>
      <w:r>
        <w:t xml:space="preserve">, que es prácticamente la única compatibilidad de segundo puesto público que aparece de forma reiterada en los exámenes.</w:t>
      </w:r>
    </w:p>
    <w:p>
      <w:pPr>
        <w:pStyle w:val="Heading3"/>
        <w:spacing w:after="100" w:before="200"/>
      </w:pPr>
      <w:r>
        <w:t xml:space="preserve">4.3. Cargos electivos (art. 5)</w:t>
      </w:r>
    </w:p>
    <w:p>
      <w:pPr>
        <w:spacing w:after="120"/>
        <w:jc w:val="both"/>
      </w:pPr>
      <w:r>
        <w:t xml:space="preserve">También se permite, con carácter excepcional, compatibilizar el puesto de trabajo con </w:t>
      </w:r>
      <w:r>
        <w:rPr>
          <w:b/>
          <w:bCs/>
        </w:rPr>
        <w:t xml:space="preserve">cargos electivos</w:t>
      </w:r>
      <w:r>
        <w:t xml:space="preserve"> en las Asambleas Legislativas de las Comunidades Autónomas o en las Corporaciones Locales, </w:t>
      </w:r>
      <w:r>
        <w:rPr>
          <w:b/>
          <w:bCs/>
        </w:rPr>
        <w:t xml:space="preserve">salvo que el desempeño del cargo electivo conlleve dedicación exclusiva</w:t>
      </w:r>
      <w:r>
        <w:t xml:space="preserve"> (en cuyo caso el empleado deberá pasar a la situación administrativa que corresponda, normalmente servicios especiales). En estos casos de compatibilidad, la regla es que </w:t>
      </w:r>
      <w:r>
        <w:rPr>
          <w:b/>
          <w:bCs/>
        </w:rPr>
        <w:t xml:space="preserve">solo se puede percibir la remuneración de una de las dos actividades</w:t>
      </w:r>
      <w:r>
        <w:t xml:space="preserve">, aunque sí son compatibles las </w:t>
      </w:r>
      <w:r>
        <w:rPr>
          <w:b/>
          <w:bCs/>
        </w:rPr>
        <w:t xml:space="preserve">dietas y asistencias</w:t>
      </w:r>
      <w:r>
        <w:t xml:space="preserve"> por la actividad no retribuida con sueldo.</w:t>
      </w:r>
    </w:p>
    <w:p>
      <w:pPr>
        <w:spacing w:after="120"/>
        <w:jc w:val="both"/>
      </w:pPr>
      <w:r>
        <w:t xml:space="preserve">Ejemplo práctico: un funcionario que es a la vez concejal en un Ayuntamiento (sin dedicación exclusiva) puede seguir cobrando su sueldo de funcionario y las dietas de asistencia a plenos, pero no cobrar además un sueldo fijo por la concejalía.</w:t>
      </w:r>
    </w:p>
    <w:p>
      <w:pPr>
        <w:pStyle w:val="Heading3"/>
        <w:spacing w:after="100" w:before="200"/>
      </w:pPr>
      <w:r>
        <w:t xml:space="preserve">4.4. Límite retributivo del segundo puesto público (art. 7)</w:t>
      </w:r>
    </w:p>
    <w:p>
      <w:pPr>
        <w:spacing w:after="120"/>
        <w:jc w:val="both"/>
      </w:pPr>
      <w:r>
        <w:t xml:space="preserve">Este es uno de los artículos más preguntados de toda la ley. Cuando se autoriza compatibilizar dos puestos públicos, existe un </w:t>
      </w:r>
      <w:r>
        <w:rPr>
          <w:b/>
          <w:bCs/>
        </w:rPr>
        <w:t xml:space="preserve">tope retributivo conjunto</w:t>
      </w:r>
      <w:r>
        <w:t xml:space="preserve">: la suma de las cantidades percibidas por ambos puestos </w:t>
      </w:r>
      <w:r>
        <w:rPr>
          <w:b/>
          <w:bCs/>
        </w:rPr>
        <w:t xml:space="preserve">no puede superar la remuneración prevista para el cargo de Director General</w:t>
      </w:r>
      <w:r>
        <w:t xml:space="preserve">, incrementada en un porcentaje según el grupo de clasificación del funcionario:</w:t>
      </w:r>
    </w:p>
    <w:p>
      <w:pPr>
        <w:spacing w:after="120"/>
        <w:jc w:val="both"/>
      </w:pPr>
      <w:r>
        <w:t xml:space="preserve">| Grupo | Incremento máximo sobre retribución de Director General |</w:t>
      </w:r>
    </w:p>
    <w:p>
      <w:pPr>
        <w:spacing w:after="120"/>
        <w:jc w:val="both"/>
      </w:pPr>
      <w:r>
        <w:t xml:space="preserve">|---|---|</w:t>
      </w:r>
    </w:p>
    <w:p>
      <w:pPr>
        <w:spacing w:after="120"/>
        <w:jc w:val="both"/>
      </w:pPr>
      <w:r>
        <w:t xml:space="preserve">| A | 30% |</w:t>
      </w:r>
    </w:p>
    <w:p>
      <w:pPr>
        <w:spacing w:after="120"/>
        <w:jc w:val="both"/>
      </w:pPr>
      <w:r>
        <w:t xml:space="preserve">| B | 35% |</w:t>
      </w:r>
    </w:p>
    <w:p>
      <w:pPr>
        <w:spacing w:after="120"/>
        <w:jc w:val="both"/>
      </w:pPr>
      <w:r>
        <w:t xml:space="preserve">| C | 40% |</w:t>
      </w:r>
    </w:p>
    <w:p>
      <w:pPr>
        <w:spacing w:after="120"/>
        <w:jc w:val="both"/>
      </w:pPr>
      <w:r>
        <w:t xml:space="preserve">| D | 45% |</w:t>
      </w:r>
    </w:p>
    <w:p>
      <w:pPr>
        <w:spacing w:after="120"/>
        <w:jc w:val="both"/>
      </w:pPr>
      <w:r>
        <w:t xml:space="preserve">| E | 50% |</w:t>
      </w:r>
    </w:p>
    <w:p>
      <w:pPr>
        <w:spacing w:after="120"/>
        <w:jc w:val="both"/>
      </w:pPr>
      <w:r>
        <w:t xml:space="preserve">Este límite solo puede superarse mediante </w:t>
      </w:r>
      <w:r>
        <w:rPr>
          <w:b/>
          <w:bCs/>
        </w:rPr>
        <w:t xml:space="preserve">acuerdo expreso del Gobierno</w:t>
      </w:r>
      <w:r>
        <w:t xml:space="preserve"> (u órgano equivalente autonómico o local), por razones de especial interés para el servicio.</w:t>
      </w:r>
    </w:p>
    <w:p>
      <w:pPr>
        <w:spacing w:after="120"/>
        <w:jc w:val="both"/>
      </w:pPr>
      <w:r>
        <w:t xml:space="preserve">Además, el artículo 7 fija otra regla de detalle muy preguntada: </w:t>
      </w:r>
      <w:r>
        <w:rPr>
          <w:b/>
          <w:bCs/>
        </w:rPr>
        <w:t xml:space="preserve">los servicios prestados en el segundo puesto no computan a efectos de trienios ni de derechos pasivos</w:t>
      </w:r>
      <w:r>
        <w:t xml:space="preserve">, y las </w:t>
      </w:r>
      <w:r>
        <w:rPr>
          <w:b/>
          <w:bCs/>
        </w:rPr>
        <w:t xml:space="preserve">pagas extraordinarias y prestaciones familiares solo se pueden percibir por uno de los dos puestos</w:t>
      </w:r>
      <w:r>
        <w:t xml:space="preserve">.</w:t>
      </w:r>
    </w:p>
    <w:p>
      <w:pPr>
        <w:spacing w:after="120"/>
        <w:jc w:val="both"/>
      </w:pPr>
      <w:r>
        <w:t xml:space="preserve">⚠️ </w:t>
      </w:r>
      <w:r>
        <w:rPr>
          <w:b/>
          <w:bCs/>
        </w:rPr>
        <w:t xml:space="preserve">MUY PREGUNTADO</w:t>
      </w:r>
      <w:r>
        <w:t xml:space="preserve">: el examen suele preguntar por "qué referencia retributiva se usa como tope" (respuesta: la del Director General) y por el hecho de que el segundo puesto </w:t>
      </w:r>
      <w:r>
        <w:rPr>
          <w:b/>
          <w:bCs/>
        </w:rPr>
        <w:t xml:space="preserve">no genera trienios ni derechos pasivos</w:t>
      </w:r>
      <w:r>
        <w:t xml:space="preserve">.</w:t>
      </w:r>
    </w:p>
    <w:p>
      <w:pPr>
        <w:pStyle w:val="Heading3"/>
        <w:spacing w:after="100" w:before="200"/>
      </w:pPr>
      <w:r>
        <w:t xml:space="preserve">4.5. Consejos de administración (art. 8)</w:t>
      </w:r>
    </w:p>
    <w:p>
      <w:pPr>
        <w:spacing w:after="120"/>
        <w:jc w:val="both"/>
      </w:pPr>
      <w:r>
        <w:t xml:space="preserve">El personal que, en representación de la Administración, forme parte de </w:t>
      </w:r>
      <w:r>
        <w:rPr>
          <w:b/>
          <w:bCs/>
        </w:rPr>
        <w:t xml:space="preserve">Consejos de Administración u órganos de gobierno</w:t>
      </w:r>
      <w:r>
        <w:t xml:space="preserve"> de organismos, entidades o empresas públicas, </w:t>
      </w:r>
      <w:r>
        <w:rPr>
          <w:b/>
          <w:bCs/>
        </w:rPr>
        <w:t xml:space="preserve">solo puede percibir dietas de asistencia</w:t>
      </w:r>
      <w:r>
        <w:t xml:space="preserve"> (con arreglo al régimen general de indemnizaciones), no una retribución fija. Como regla, </w:t>
      </w:r>
      <w:r>
        <w:rPr>
          <w:b/>
          <w:bCs/>
        </w:rPr>
        <w:t xml:space="preserve">no se puede pertenecer a más de dos Consejos de Administración</w:t>
      </w:r>
      <w:r>
        <w:t xml:space="preserve">, salvo autorización excepcional del Gobierno.</w:t>
      </w:r>
    </w:p>
    <w:p>
      <w:pPr>
        <w:pStyle w:val="Heading3"/>
        <w:spacing w:after="100" w:before="200"/>
      </w:pPr>
      <w:r>
        <w:t xml:space="preserve">4.6. Órgano competente y procedimiento para el segundo puesto público (arts. 9 y 10)</w:t>
      </w:r>
    </w:p>
    <w:p>
      <w:pPr>
        <w:pStyle w:val="ListParagraph"/>
        <w:numPr>
          <w:ilvl w:val="0"/>
          <w:numId w:val="2"/>
        </w:numPr>
        <w:spacing w:after="60"/>
      </w:pPr>
      <w:r>
        <w:rPr>
          <w:b/>
          <w:bCs/>
        </w:rPr>
        <w:t xml:space="preserve">Art. 9</w:t>
      </w:r>
      <w:r>
        <w:t xml:space="preserve">: la competencia para </w:t>
      </w:r>
      <w:r>
        <w:rPr>
          <w:b/>
          <w:bCs/>
        </w:rPr>
        <w:t xml:space="preserve">autorizar o denegar</w:t>
      </w:r>
      <w:r>
        <w:t xml:space="preserve"> la compatibilidad de un segundo puesto público corresponde, en el ámbito estatal, al </w:t>
      </w:r>
      <w:r>
        <w:rPr>
          <w:b/>
          <w:bCs/>
        </w:rPr>
        <w:t xml:space="preserve">Ministerio de la Presidencia</w:t>
      </w:r>
      <w:r>
        <w:t xml:space="preserve"> (a propuesta de la Subsecretaría del Departamento), y en el ámbito autonómico o local, al </w:t>
      </w:r>
      <w:r>
        <w:rPr>
          <w:b/>
          <w:bCs/>
        </w:rPr>
        <w:t xml:space="preserve">órgano competente de la Comunidad Autónoma</w:t>
      </w:r>
      <w:r>
        <w:t xml:space="preserve"> o al </w:t>
      </w:r>
      <w:r>
        <w:rPr>
          <w:b/>
          <w:bCs/>
        </w:rPr>
        <w:t xml:space="preserve">Pleno de la Corporación Local</w:t>
      </w:r>
      <w:r>
        <w:t xml:space="preserve">, respectivamente. Se requiere informe previo favorable del organismo, entidad o empresa en la que se va a desempeñar el segundo puesto.</w:t>
      </w:r>
    </w:p>
    <w:p>
      <w:pPr>
        <w:pStyle w:val="ListParagraph"/>
        <w:numPr>
          <w:ilvl w:val="0"/>
          <w:numId w:val="2"/>
        </w:numPr>
        <w:spacing w:after="60"/>
      </w:pPr>
      <w:r>
        <w:rPr>
          <w:b/>
          <w:bCs/>
        </w:rPr>
        <w:t xml:space="preserve">Art. 10</w:t>
      </w:r>
      <w:r>
        <w:t xml:space="preserve">: quien acceda a un nuevo puesto público </w:t>
      </w:r>
      <w:r>
        <w:rPr>
          <w:b/>
          <w:bCs/>
        </w:rPr>
        <w:t xml:space="preserve">incompatible</w:t>
      </w:r>
      <w:r>
        <w:t xml:space="preserve"> con el que ya desempeña debe </w:t>
      </w:r>
      <w:r>
        <w:rPr>
          <w:b/>
          <w:bCs/>
        </w:rPr>
        <w:t xml:space="preserve">optar por uno de los dos dentro del plazo posesorio</w:t>
      </w:r>
      <w:r>
        <w:t xml:space="preserve"> del nuevo puesto (es decir, en el momento de tomar posesión). Si no ejerce la opción, se entiende que </w:t>
      </w:r>
      <w:r>
        <w:rPr>
          <w:b/>
          <w:bCs/>
        </w:rPr>
        <w:t xml:space="preserve">opta por el nuevo puesto</w:t>
      </w:r>
      <w:r>
        <w:t xml:space="preserve">, cesando en el anterior. Cuando el segundo puesto sea de los que pueden ser autorizados (docencia, sanidad, etc.), la </w:t>
      </w:r>
      <w:r>
        <w:rPr>
          <w:b/>
          <w:bCs/>
        </w:rPr>
        <w:t xml:space="preserve">solicitud de compatibilidad debe presentarse en el plazo de los diez días siguientes</w:t>
      </w:r>
      <w:r>
        <w:t xml:space="preserve"> a la toma de posesión del nuevo destino.</w:t>
      </w:r>
    </w:p>
    <w:p>
      <w:pPr>
        <w:spacing w:after="120"/>
        <w:jc w:val="both"/>
      </w:pPr>
      <w:r>
        <w:t xml:space="preserve">Ejemplo práctico: si una persona que ya es funcionaria toma posesión de una nueva plaza compatible con la primera (por ejemplo, plaza sanitaria), tiene 10 días desde la toma de posesión para pedir la compatibilidad; si el nuevo puesto no es de los autorizables, debe optar por uno de los dos inmediatamente.</w:t>
      </w:r>
    </w:p>
    <w:p>
      <w:pPr>
        <w:pStyle w:val="Heading2"/>
        <w:spacing w:after="120" w:before="260"/>
      </w:pPr>
      <w:r>
        <w:t xml:space="preserve">5. Compatibilidad con actividades privadas (Capítulo IV, arts. 11 a 15)</w:t>
      </w:r>
    </w:p>
    <w:p>
      <w:pPr>
        <w:pStyle w:val="Heading3"/>
        <w:spacing w:after="100" w:before="200"/>
      </w:pPr>
      <w:r>
        <w:t xml:space="preserve">5.1. Prohibiciones básicas (arts. 11 y 12)</w:t>
      </w:r>
    </w:p>
    <w:p>
      <w:pPr>
        <w:spacing w:after="120"/>
        <w:jc w:val="both"/>
      </w:pPr>
      <w:r>
        <w:t xml:space="preserve">El artículo 11 prohíbe el ejercicio de </w:t>
      </w:r>
      <w:r>
        <w:rPr>
          <w:b/>
          <w:bCs/>
        </w:rPr>
        <w:t xml:space="preserve">actividades privadas, incluidas las de carácter profesional, que se relacionen directamente con las que desarrolle el propio Departamento, organismo o entidad</w:t>
      </w:r>
      <w:r>
        <w:t xml:space="preserve"> donde el empleado presta servicios. El Gobierno, mediante Real Decreto, puede además determinar, con carácter general, </w:t>
      </w:r>
      <w:r>
        <w:rPr>
          <w:b/>
          <w:bCs/>
        </w:rPr>
        <w:t xml:space="preserve">actividades privadas incompatibles</w:t>
      </w:r>
      <w:r>
        <w:t xml:space="preserve"> por razón del interés público (por ejemplo, ciertas profesiones colegiadas relacionadas con la función inspectora o de control).</w:t>
      </w:r>
    </w:p>
    <w:p>
      <w:pPr>
        <w:spacing w:after="120"/>
        <w:jc w:val="both"/>
      </w:pPr>
      <w:r>
        <w:t xml:space="preserve">El artículo 12 concreta prohibiciones específicas, que son muy preguntadas:</w:t>
      </w:r>
    </w:p>
    <w:p>
      <w:pPr>
        <w:pStyle w:val="ListParagraph"/>
        <w:numPr>
          <w:ilvl w:val="0"/>
          <w:numId w:val="2"/>
        </w:numPr>
        <w:spacing w:after="60"/>
      </w:pPr>
      <w:r>
        <w:t xml:space="preserve">El desempeño de actividades privadas (incluidas las profesionales) </w:t>
      </w:r>
      <w:r>
        <w:rPr>
          <w:b/>
          <w:bCs/>
        </w:rPr>
        <w:t xml:space="preserve">en los asuntos en que esté interviniendo, haya intervenido en los dos últimos años, o vaya a intervenir</w:t>
      </w:r>
      <w:r>
        <w:t xml:space="preserve"> por razón de su puesto público.</w:t>
      </w:r>
    </w:p>
    <w:p>
      <w:pPr>
        <w:pStyle w:val="ListParagraph"/>
        <w:numPr>
          <w:ilvl w:val="0"/>
          <w:numId w:val="2"/>
        </w:numPr>
        <w:spacing w:after="60"/>
      </w:pPr>
      <w:r>
        <w:t xml:space="preserve">La pertenencia a </w:t>
      </w:r>
      <w:r>
        <w:rPr>
          <w:b/>
          <w:bCs/>
        </w:rPr>
        <w:t xml:space="preserve">Consejos de Administración u órganos rectores de empresas o sociedades privadas</w:t>
      </w:r>
      <w:r>
        <w:t xml:space="preserve"> cuando la actividad de estas esté directamente relacionada con las que gestione el Departamento u organismo.</w:t>
      </w:r>
    </w:p>
    <w:p>
      <w:pPr>
        <w:pStyle w:val="ListParagraph"/>
        <w:numPr>
          <w:ilvl w:val="0"/>
          <w:numId w:val="2"/>
        </w:numPr>
        <w:spacing w:after="60"/>
      </w:pPr>
      <w:r>
        <w:t xml:space="preserve">El desempeño de actividades de dirección, asesoramiento o de cualquier otro tipo en </w:t>
      </w:r>
      <w:r>
        <w:rPr>
          <w:b/>
          <w:bCs/>
        </w:rPr>
        <w:t xml:space="preserve">empresas concesionarias, contratistas o subcontratistas de obras, servicios o suministros</w:t>
      </w:r>
      <w:r>
        <w:t xml:space="preserve"> de las Administraciones Públicas.</w:t>
      </w:r>
    </w:p>
    <w:p>
      <w:pPr>
        <w:pStyle w:val="ListParagraph"/>
        <w:numPr>
          <w:ilvl w:val="0"/>
          <w:numId w:val="2"/>
        </w:numPr>
        <w:spacing w:after="60"/>
      </w:pPr>
      <w:r>
        <w:t xml:space="preserve">La titularidad de más del </w:t>
      </w:r>
      <w:r>
        <w:rPr>
          <w:b/>
          <w:bCs/>
        </w:rPr>
        <w:t xml:space="preserve">10% del capital</w:t>
      </w:r>
      <w:r>
        <w:t xml:space="preserve"> de esas mismas empresas concesionarias o contratistas (participación que, si se supera, genera incompatibilidad aunque no se ejerza cargo).</w:t>
      </w:r>
    </w:p>
    <w:p>
      <w:pPr>
        <w:spacing w:after="120"/>
        <w:jc w:val="both"/>
      </w:pPr>
      <w:r>
        <w:t xml:space="preserve">Ejemplo práctico: un funcionario que gestiona expedientes de contratación pública no puede ser socio de una empresa que licita en esos mismos concursos, ni siquiera poseyendo solo un pequeño porcentaje si supera el 10% del capital.</w:t>
      </w:r>
    </w:p>
    <w:p>
      <w:pPr>
        <w:pStyle w:val="Heading3"/>
        <w:spacing w:after="100" w:before="200"/>
      </w:pPr>
      <w:r>
        <w:t xml:space="preserve">5.2. Compatibilidad de jornada (art. 13)</w:t>
      </w:r>
    </w:p>
    <w:p>
      <w:pPr>
        <w:spacing w:after="120"/>
        <w:jc w:val="both"/>
      </w:pPr>
      <w:r>
        <w:t xml:space="preserve">No se puede autorizar compatibilidad con actividad privada cuando la suma de jornada del puesto público (incluido, en su caso, el segundo puesto público ya autorizado) y de la actividad privada </w:t>
      </w:r>
      <w:r>
        <w:rPr>
          <w:b/>
          <w:bCs/>
        </w:rPr>
        <w:t xml:space="preserve">iguale o supere la jornada máxima</w:t>
      </w:r>
      <w:r>
        <w:t xml:space="preserve"> en las Administraciones Públicas incrementada en un 50% (criterio de "coincidencia de horario/dedicación"). En la práctica, esto obliga a que la actividad privada compatible sea, normalmente, de </w:t>
      </w:r>
      <w:r>
        <w:rPr>
          <w:b/>
          <w:bCs/>
        </w:rPr>
        <w:t xml:space="preserve">dedicación reducida</w:t>
      </w:r>
      <w:r>
        <w:t xml:space="preserve">.</w:t>
      </w:r>
    </w:p>
    <w:p>
      <w:pPr>
        <w:pStyle w:val="Heading3"/>
        <w:spacing w:after="100" w:before="200"/>
      </w:pPr>
      <w:r>
        <w:t xml:space="preserve">5.3. Procedimiento de autorización (art. 14)</w:t>
      </w:r>
    </w:p>
    <w:p>
      <w:pPr>
        <w:spacing w:after="120"/>
        <w:jc w:val="both"/>
      </w:pPr>
      <w:r>
        <w:t xml:space="preserve">El ejercicio de </w:t>
      </w:r>
      <w:r>
        <w:rPr>
          <w:b/>
          <w:bCs/>
        </w:rPr>
        <w:t xml:space="preserve">actividades profesionales, laborales, mercantiles o industriales fuera de las Administraciones Públicas</w:t>
      </w:r>
      <w:r>
        <w:t xml:space="preserve"> requiere, con carácter previo, el </w:t>
      </w:r>
      <w:r>
        <w:rPr>
          <w:b/>
          <w:bCs/>
        </w:rPr>
        <w:t xml:space="preserve">reconocimiento de compatibilidad</w:t>
      </w:r>
      <w:r>
        <w:t xml:space="preserve">. Puntos clave:</w:t>
      </w:r>
    </w:p>
    <w:p>
      <w:pPr>
        <w:pStyle w:val="ListParagraph"/>
        <w:numPr>
          <w:ilvl w:val="0"/>
          <w:numId w:val="2"/>
        </w:numPr>
        <w:spacing w:after="60"/>
      </w:pPr>
      <w:r>
        <w:t xml:space="preserve">La resolución debe dictarse en el plazo de </w:t>
      </w:r>
      <w:r>
        <w:rPr>
          <w:b/>
          <w:bCs/>
        </w:rPr>
        <w:t xml:space="preserve">dos meses</w:t>
      </w:r>
      <w:r>
        <w:t xml:space="preserve">; si no se resuelve expresamente puede entenderse (según regla general de silencio) según lo dispuesto en cada momento, pero lo relevante a efectos de examen es el </w:t>
      </w:r>
      <w:r>
        <w:rPr>
          <w:b/>
          <w:bCs/>
        </w:rPr>
        <w:t xml:space="preserve">plazo de dos meses</w:t>
      </w:r>
      <w:r>
        <w:t xml:space="preserve">.</w:t>
      </w:r>
    </w:p>
    <w:p>
      <w:pPr>
        <w:pStyle w:val="ListParagraph"/>
        <w:numPr>
          <w:ilvl w:val="0"/>
          <w:numId w:val="2"/>
        </w:numPr>
        <w:spacing w:after="60"/>
      </w:pPr>
      <w:r>
        <w:t xml:space="preserve">El órgano competente es el mismo que para el segundo puesto público (Ministerio de la Presidencia, órgano autonómico o Pleno de la Corporación Local).</w:t>
      </w:r>
    </w:p>
    <w:p>
      <w:pPr>
        <w:pStyle w:val="ListParagraph"/>
        <w:numPr>
          <w:ilvl w:val="0"/>
          <w:numId w:val="2"/>
        </w:numPr>
        <w:spacing w:after="60"/>
      </w:pPr>
      <w:r>
        <w:t xml:space="preserve">La autorización </w:t>
      </w:r>
      <w:r>
        <w:rPr>
          <w:b/>
          <w:bCs/>
        </w:rPr>
        <w:t xml:space="preserve">no modifica la jornada de trabajo</w:t>
      </w:r>
      <w:r>
        <w:t xml:space="preserve"> del empleado en su puesto público ni afecta a su horario.</w:t>
      </w:r>
    </w:p>
    <w:p>
      <w:pPr>
        <w:pStyle w:val="ListParagraph"/>
        <w:numPr>
          <w:ilvl w:val="0"/>
          <w:numId w:val="2"/>
        </w:numPr>
        <w:spacing w:after="60"/>
      </w:pPr>
      <w:r>
        <w:t xml:space="preserve">La compatibilidad </w:t>
      </w:r>
      <w:r>
        <w:rPr>
          <w:b/>
          <w:bCs/>
        </w:rPr>
        <w:t xml:space="preserve">queda automáticamente sin efecto</w:t>
      </w:r>
      <w:r>
        <w:t xml:space="preserve"> si el empleado cambia de puesto de trabajo, siendo necesario solicitar una nueva autorización para el nuevo puesto.</w:t>
      </w:r>
    </w:p>
    <w:p>
      <w:pPr>
        <w:spacing w:after="120"/>
        <w:jc w:val="both"/>
      </w:pPr>
      <w:r>
        <w:t xml:space="preserve">⚠️ </w:t>
      </w:r>
      <w:r>
        <w:rPr>
          <w:b/>
          <w:bCs/>
        </w:rPr>
        <w:t xml:space="preserve">MUY PREGUNTADO</w:t>
      </w:r>
      <w:r>
        <w:t xml:space="preserve">: retener el </w:t>
      </w:r>
      <w:r>
        <w:rPr>
          <w:b/>
          <w:bCs/>
        </w:rPr>
        <w:t xml:space="preserve">plazo de dos meses</w:t>
      </w:r>
      <w:r>
        <w:t xml:space="preserve"> del artículo 14 (a menudo se confunde con los "diez días" del art. 10, que es el plazo para *solicitar* compatibilidad de segundo puesto público, no para resolver sobre actividad privada).</w:t>
      </w:r>
    </w:p>
    <w:p>
      <w:pPr>
        <w:pStyle w:val="Heading3"/>
        <w:spacing w:after="100" w:before="200"/>
      </w:pPr>
      <w:r>
        <w:t xml:space="preserve">5.4. Prohibición de invocar la condición pública (art. 15)</w:t>
      </w:r>
    </w:p>
    <w:p>
      <w:pPr>
        <w:spacing w:after="120"/>
        <w:jc w:val="both"/>
      </w:pPr>
      <w:r>
        <w:t xml:space="preserve">El personal no puede </w:t>
      </w:r>
      <w:r>
        <w:rPr>
          <w:b/>
          <w:bCs/>
        </w:rPr>
        <w:t xml:space="preserve">invocar su condición de empleado público</w:t>
      </w:r>
      <w:r>
        <w:t xml:space="preserve"> para el ejercicio de actividades mercantiles, industriales o profesionales privadas.</w:t>
      </w:r>
    </w:p>
    <w:p>
      <w:pPr>
        <w:pStyle w:val="Heading2"/>
        <w:spacing w:after="120" w:before="260"/>
      </w:pPr>
      <w:r>
        <w:t xml:space="preserve">6. Disposiciones comunes (Capítulo V, arts. 16 a 20)</w:t>
      </w:r>
    </w:p>
    <w:p>
      <w:pPr>
        <w:pStyle w:val="Heading3"/>
        <w:spacing w:after="100" w:before="200"/>
      </w:pPr>
      <w:r>
        <w:t xml:space="preserve">6.1. Complemento específico y actividad privada (art. 16)</w:t>
      </w:r>
    </w:p>
    <w:p>
      <w:pPr>
        <w:spacing w:after="120"/>
        <w:jc w:val="both"/>
      </w:pPr>
      <w:r>
        <w:t xml:space="preserve">Este artículo es muy preguntado porque introduce un </w:t>
      </w:r>
      <w:r>
        <w:rPr>
          <w:b/>
          <w:bCs/>
        </w:rPr>
        <w:t xml:space="preserve">criterio retributivo</w:t>
      </w:r>
      <w:r>
        <w:t xml:space="preserve"> para decidir si cabe o no compatibilidad con actividad privada:</w:t>
      </w:r>
    </w:p>
    <w:p>
      <w:pPr>
        <w:pStyle w:val="ListParagraph"/>
        <w:numPr>
          <w:ilvl w:val="0"/>
          <w:numId w:val="2"/>
        </w:numPr>
        <w:spacing w:after="60"/>
      </w:pPr>
      <w:r>
        <w:rPr>
          <w:b/>
          <w:bCs/>
        </w:rPr>
        <w:t xml:space="preserve">No se puede autorizar compatibilidad</w:t>
      </w:r>
      <w:r>
        <w:t xml:space="preserve"> al personal cuyas retribuciones incluyan un </w:t>
      </w:r>
      <w:r>
        <w:rPr>
          <w:b/>
          <w:bCs/>
        </w:rPr>
        <w:t xml:space="preserve">complemento específico</w:t>
      </w:r>
      <w:r>
        <w:t xml:space="preserve"> (o concepto equivalente) que retribuya especialmente la dedicación o incompatibilidad, salvo excepciones tasadas.</w:t>
      </w:r>
    </w:p>
    <w:p>
      <w:pPr>
        <w:pStyle w:val="ListParagraph"/>
        <w:numPr>
          <w:ilvl w:val="0"/>
          <w:numId w:val="2"/>
        </w:numPr>
        <w:spacing w:after="60"/>
      </w:pPr>
      <w:r>
        <w:t xml:space="preserve">La dedicación del </w:t>
      </w:r>
      <w:r>
        <w:rPr>
          <w:b/>
          <w:bCs/>
        </w:rPr>
        <w:t xml:space="preserve">profesorado universitario a tiempo completo</w:t>
      </w:r>
      <w:r>
        <w:t xml:space="preserve"> tiene la consideración de "dedicación especial", incompatible salvo las excepciones ya vistas (profesor asociado, investigación del art. 6).</w:t>
      </w:r>
    </w:p>
    <w:p>
      <w:pPr>
        <w:pStyle w:val="ListParagraph"/>
        <w:numPr>
          <w:ilvl w:val="0"/>
          <w:numId w:val="2"/>
        </w:numPr>
        <w:spacing w:after="60"/>
      </w:pPr>
      <w:r>
        <w:rPr>
          <w:b/>
          <w:bCs/>
        </w:rPr>
        <w:t xml:space="preserve">Sí se permite</w:t>
      </w:r>
      <w:r>
        <w:t xml:space="preserve"> compatibilidad con actividades privadas cuando el </w:t>
      </w:r>
      <w:r>
        <w:rPr>
          <w:b/>
          <w:bCs/>
        </w:rPr>
        <w:t xml:space="preserve">complemento específico (u otro concepto por el desempeño de puesto de trabajo) no supere el 30% de la retribución básica</w:t>
      </w:r>
      <w:r>
        <w:t xml:space="preserve">, excluidos los conceptos que tengan su origen en la antigüedad (trienios).</w:t>
      </w:r>
    </w:p>
    <w:p>
      <w:pPr>
        <w:spacing w:after="120"/>
        <w:jc w:val="both"/>
      </w:pPr>
      <w:r>
        <w:t xml:space="preserve">Ejemplo práctico: un empleado con un complemento específico bajo (por debajo del 30% de su sueldo base) tiene más posibilidades de que le autoricen una actividad privada compatible que uno con un complemento específico alto, que suele llevar aparejado el llamado "factor de incompatibilidad".</w:t>
      </w:r>
    </w:p>
    <w:p>
      <w:pPr>
        <w:pStyle w:val="Heading3"/>
        <w:spacing w:after="100" w:before="200"/>
      </w:pPr>
      <w:r>
        <w:t xml:space="preserve">6.2. Órganos competentes especiales (art. 17)</w:t>
      </w:r>
    </w:p>
    <w:p>
      <w:pPr>
        <w:spacing w:after="120"/>
        <w:jc w:val="both"/>
      </w:pPr>
      <w:r>
        <w:t xml:space="preserve">Se equiparan a estos efectos los </w:t>
      </w:r>
      <w:r>
        <w:rPr>
          <w:b/>
          <w:bCs/>
        </w:rPr>
        <w:t xml:space="preserve">Delegados del Gobierno en las Comunidades Autónomas y los Gobernadores Civiles</w:t>
      </w:r>
      <w:r>
        <w:t xml:space="preserve"> con las facultades atribuidas a las Subsecretarías, y el </w:t>
      </w:r>
      <w:r>
        <w:rPr>
          <w:b/>
          <w:bCs/>
        </w:rPr>
        <w:t xml:space="preserve">Rector de la Universidad</w:t>
      </w:r>
      <w:r>
        <w:t xml:space="preserve"> asume las competencias referidas a Subsecretaría respecto de su propio personal.</w:t>
      </w:r>
    </w:p>
    <w:p>
      <w:pPr>
        <w:pStyle w:val="Heading3"/>
        <w:spacing w:after="100" w:before="200"/>
      </w:pPr>
      <w:r>
        <w:t xml:space="preserve">6.3. Registro de personal (art. 18)</w:t>
      </w:r>
    </w:p>
    <w:p>
      <w:pPr>
        <w:spacing w:after="120"/>
        <w:jc w:val="both"/>
      </w:pPr>
      <w:r>
        <w:t xml:space="preserve">Las resoluciones de compatibilidad, tanto de estimación como de denegación, deben </w:t>
      </w:r>
      <w:r>
        <w:rPr>
          <w:b/>
          <w:bCs/>
        </w:rPr>
        <w:t xml:space="preserve">inscribirse en los Registros de Personal</w:t>
      </w:r>
      <w:r>
        <w:t xml:space="preserve">. Se establece que esta inscripción es </w:t>
      </w:r>
      <w:r>
        <w:rPr>
          <w:b/>
          <w:bCs/>
        </w:rPr>
        <w:t xml:space="preserve">requisito indispensable, junto con la toma de posesión, para poder acreditar y percibir haberes</w:t>
      </w:r>
      <w:r>
        <w:t xml:space="preserve"> por el segundo puesto o actividad.</w:t>
      </w:r>
    </w:p>
    <w:p>
      <w:pPr>
        <w:pStyle w:val="Heading3"/>
        <w:spacing w:after="100" w:before="200"/>
      </w:pPr>
      <w:r>
        <w:t xml:space="preserve">6.4. Excepciones al régimen general de incompatibilidades (art. 19)</w:t>
      </w:r>
    </w:p>
    <w:p>
      <w:pPr>
        <w:spacing w:after="120"/>
        <w:jc w:val="both"/>
      </w:pPr>
      <w:r>
        <w:t xml:space="preserve">Este artículo enumera actividades que </w:t>
      </w:r>
      <w:r>
        <w:rPr>
          <w:b/>
          <w:bCs/>
        </w:rPr>
        <w:t xml:space="preserve">quedan exceptuadas</w:t>
      </w:r>
      <w:r>
        <w:t xml:space="preserve"> del régimen de incompatibilidades, es decir, que se pueden realizar </w:t>
      </w:r>
      <w:r>
        <w:rPr>
          <w:b/>
          <w:bCs/>
        </w:rPr>
        <w:t xml:space="preserve">sin necesidad de autorización</w:t>
      </w:r>
      <w:r>
        <w:t xml:space="preserve">. Es uno de los más preguntados porque exige memorizar supuestos concretos:</w:t>
      </w:r>
    </w:p>
    <w:p>
      <w:pPr>
        <w:pStyle w:val="ListParagraph"/>
        <w:numPr>
          <w:ilvl w:val="0"/>
          <w:numId w:val="2"/>
        </w:numPr>
        <w:spacing w:after="60"/>
      </w:pPr>
      <w:r>
        <w:t xml:space="preserve">La </w:t>
      </w:r>
      <w:r>
        <w:rPr>
          <w:b/>
          <w:bCs/>
        </w:rPr>
        <w:t xml:space="preserve">administración del patrimonio personal o familiar</w:t>
      </w:r>
      <w:r>
        <w:t xml:space="preserve">.</w:t>
      </w:r>
    </w:p>
    <w:p>
      <w:pPr>
        <w:pStyle w:val="ListParagraph"/>
        <w:numPr>
          <w:ilvl w:val="0"/>
          <w:numId w:val="2"/>
        </w:numPr>
        <w:spacing w:after="60"/>
      </w:pPr>
      <w:r>
        <w:t xml:space="preserve">La </w:t>
      </w:r>
      <w:r>
        <w:rPr>
          <w:b/>
          <w:bCs/>
        </w:rPr>
        <w:t xml:space="preserve">dirección de seminarios o el dictado de cursos o conferencias</w:t>
      </w:r>
      <w:r>
        <w:t xml:space="preserve"> en centros oficiales destinados a la formación de funcionarios o profesorado, cuando no tengan carácter permanente y no superen las </w:t>
      </w:r>
      <w:r>
        <w:rPr>
          <w:b/>
          <w:bCs/>
        </w:rPr>
        <w:t xml:space="preserve">75 horas al año</w:t>
      </w:r>
      <w:r>
        <w:t xml:space="preserve"> (⚠️ dato numérico muy preguntado).</w:t>
      </w:r>
    </w:p>
    <w:p>
      <w:pPr>
        <w:pStyle w:val="ListParagraph"/>
        <w:numPr>
          <w:ilvl w:val="0"/>
          <w:numId w:val="2"/>
        </w:numPr>
        <w:spacing w:after="60"/>
      </w:pPr>
      <w:r>
        <w:t xml:space="preserve">La </w:t>
      </w:r>
      <w:r>
        <w:rPr>
          <w:b/>
          <w:bCs/>
        </w:rPr>
        <w:t xml:space="preserve">participación en Tribunales calificadores de pruebas selectivas</w:t>
      </w:r>
      <w:r>
        <w:t xml:space="preserve"> para ingreso en las Administraciones Públicas.</w:t>
      </w:r>
    </w:p>
    <w:p>
      <w:pPr>
        <w:pStyle w:val="ListParagraph"/>
        <w:numPr>
          <w:ilvl w:val="0"/>
          <w:numId w:val="2"/>
        </w:numPr>
        <w:spacing w:after="60"/>
      </w:pPr>
      <w:r>
        <w:t xml:space="preserve">La </w:t>
      </w:r>
      <w:r>
        <w:rPr>
          <w:b/>
          <w:bCs/>
        </w:rPr>
        <w:t xml:space="preserve">participación del profesorado en exámenes</w:t>
      </w:r>
      <w:r>
        <w:t xml:space="preserve">, distintos de los anteriores, relacionados con su función docente.</w:t>
      </w:r>
    </w:p>
    <w:p>
      <w:pPr>
        <w:pStyle w:val="ListParagraph"/>
        <w:numPr>
          <w:ilvl w:val="0"/>
          <w:numId w:val="2"/>
        </w:numPr>
        <w:spacing w:after="60"/>
      </w:pPr>
      <w:r>
        <w:t xml:space="preserve">El desempeño de </w:t>
      </w:r>
      <w:r>
        <w:rPr>
          <w:b/>
          <w:bCs/>
        </w:rPr>
        <w:t xml:space="preserve">cargos no retribuidos</w:t>
      </w:r>
      <w:r>
        <w:t xml:space="preserve"> en órganos rectores de Mutualidades, Patronatos o entidades similares dependientes de la propia Administración.</w:t>
      </w:r>
    </w:p>
    <w:p>
      <w:pPr>
        <w:pStyle w:val="ListParagraph"/>
        <w:numPr>
          <w:ilvl w:val="0"/>
          <w:numId w:val="2"/>
        </w:numPr>
        <w:spacing w:after="60"/>
      </w:pPr>
      <w:r>
        <w:t xml:space="preserve">La </w:t>
      </w:r>
      <w:r>
        <w:rPr>
          <w:b/>
          <w:bCs/>
        </w:rPr>
        <w:t xml:space="preserve">producción y creación literaria, artística, científica y técnica</w:t>
      </w:r>
      <w:r>
        <w:t xml:space="preserve">, así como las publicaciones derivadas de ellas.</w:t>
      </w:r>
    </w:p>
    <w:p>
      <w:pPr>
        <w:pStyle w:val="ListParagraph"/>
        <w:numPr>
          <w:ilvl w:val="0"/>
          <w:numId w:val="2"/>
        </w:numPr>
        <w:spacing w:after="60"/>
      </w:pPr>
      <w:r>
        <w:t xml:space="preserve">La </w:t>
      </w:r>
      <w:r>
        <w:rPr>
          <w:b/>
          <w:bCs/>
        </w:rPr>
        <w:t xml:space="preserve">participación ocasional</w:t>
      </w:r>
      <w:r>
        <w:t xml:space="preserve"> en coloquios, programas o colaboraciones en medios de comunicación social.</w:t>
      </w:r>
    </w:p>
    <w:p>
      <w:pPr>
        <w:pStyle w:val="ListParagraph"/>
        <w:numPr>
          <w:ilvl w:val="0"/>
          <w:numId w:val="2"/>
        </w:numPr>
        <w:spacing w:after="60"/>
      </w:pPr>
      <w:r>
        <w:t xml:space="preserve">La </w:t>
      </w:r>
      <w:r>
        <w:rPr>
          <w:b/>
          <w:bCs/>
        </w:rPr>
        <w:t xml:space="preserve">colaboración y asistencia ocasional</w:t>
      </w:r>
      <w:r>
        <w:t xml:space="preserve"> a congresos, seminarios, conferencias o cursos de carácter profesional.</w:t>
      </w:r>
    </w:p>
    <w:p>
      <w:pPr>
        <w:spacing w:after="120"/>
        <w:jc w:val="both"/>
      </w:pPr>
      <w:r>
        <w:t xml:space="preserve">⚠️ </w:t>
      </w:r>
      <w:r>
        <w:rPr>
          <w:b/>
          <w:bCs/>
        </w:rPr>
        <w:t xml:space="preserve">MUY PREGUNTADO</w:t>
      </w:r>
      <w:r>
        <w:t xml:space="preserve">: distinguir que estas actividades </w:t>
      </w:r>
      <w:r>
        <w:rPr>
          <w:b/>
          <w:bCs/>
        </w:rPr>
        <w:t xml:space="preserve">no requieren autorización previa</w:t>
      </w:r>
      <w:r>
        <w:t xml:space="preserve"> (a diferencia del resto de la ley, donde la autorización es la regla), y el dato de las </w:t>
      </w:r>
      <w:r>
        <w:rPr>
          <w:b/>
          <w:bCs/>
        </w:rPr>
        <w:t xml:space="preserve">75 horas anuales</w:t>
      </w:r>
      <w:r>
        <w:t xml:space="preserve"> para docencia no permanente.</w:t>
      </w:r>
    </w:p>
    <w:p>
      <w:pPr>
        <w:pStyle w:val="Heading3"/>
        <w:spacing w:after="100" w:before="200"/>
      </w:pPr>
      <w:r>
        <w:t xml:space="preserve">6.5. Régimen sancionador (art. 20)</w:t>
      </w:r>
    </w:p>
    <w:p>
      <w:pPr>
        <w:spacing w:after="120"/>
        <w:jc w:val="both"/>
      </w:pPr>
      <w:r>
        <w:t xml:space="preserve">El incumplimiento de las normas de la ley </w:t>
      </w:r>
      <w:r>
        <w:rPr>
          <w:b/>
          <w:bCs/>
        </w:rPr>
        <w:t xml:space="preserve">se sanciona conforme al régimen disciplinario</w:t>
      </w:r>
      <w:r>
        <w:t xml:space="preserve"> aplicable en cada caso (es decir, la Ley 53/1984 </w:t>
      </w:r>
      <w:r>
        <w:rPr>
          <w:b/>
          <w:bCs/>
        </w:rPr>
        <w:t xml:space="preserve">no crea un catálogo de infracciones propio</w:t>
      </w:r>
      <w:r>
        <w:t xml:space="preserve">, sino que remite a la normativa disciplinaria general de la función pública). Ideas clave:</w:t>
      </w:r>
    </w:p>
    <w:p>
      <w:pPr>
        <w:pStyle w:val="ListParagraph"/>
        <w:numPr>
          <w:ilvl w:val="0"/>
          <w:numId w:val="2"/>
        </w:numPr>
        <w:spacing w:after="60"/>
      </w:pPr>
      <w:r>
        <w:t xml:space="preserve">El desempeño de una actividad compatible </w:t>
      </w:r>
      <w:r>
        <w:rPr>
          <w:b/>
          <w:bCs/>
        </w:rPr>
        <w:t xml:space="preserve">no exime</w:t>
      </w:r>
      <w:r>
        <w:t xml:space="preserve"> al empleado de cumplir con su horario, jornada y deber de residencia en el puesto principal.</w:t>
      </w:r>
    </w:p>
    <w:p>
      <w:pPr>
        <w:pStyle w:val="ListParagraph"/>
        <w:numPr>
          <w:ilvl w:val="0"/>
          <w:numId w:val="2"/>
        </w:numPr>
        <w:spacing w:after="60"/>
      </w:pPr>
      <w:r>
        <w:t xml:space="preserve">Cuando el incumplimiento se califique como </w:t>
      </w:r>
      <w:r>
        <w:rPr>
          <w:b/>
          <w:bCs/>
        </w:rPr>
        <w:t xml:space="preserve">falta grave o muy grave</w:t>
      </w:r>
      <w:r>
        <w:t xml:space="preserve">, ello comporta la </w:t>
      </w:r>
      <w:r>
        <w:rPr>
          <w:b/>
          <w:bCs/>
        </w:rPr>
        <w:t xml:space="preserve">revocación automática</w:t>
      </w:r>
      <w:r>
        <w:t xml:space="preserve"> de la autorización de compatibilidad concedida, sin perjuicio de las demás responsabilidades disciplinarias que procedan.</w:t>
      </w:r>
    </w:p>
    <w:p>
      <w:pPr>
        <w:pStyle w:val="ListParagraph"/>
        <w:numPr>
          <w:ilvl w:val="0"/>
          <w:numId w:val="2"/>
        </w:numPr>
        <w:spacing w:after="60"/>
      </w:pPr>
      <w:r>
        <w:t xml:space="preserve">Corresponde a los órganos y unidades de personal (y, en su caso, a la Inspección General de Servicios) velar por la correcta aplicación de la ley y proponer la incoación de expedientes disciplinarios cuando proceda.</w:t>
      </w:r>
    </w:p>
    <w:p>
      <w:pPr>
        <w:spacing w:after="120"/>
        <w:jc w:val="both"/>
      </w:pPr>
      <w:r>
        <w:t xml:space="preserve">Ejemplo práctico: un funcionario al que se le concedió compatibilidad para una actividad privada y que es sancionado por falta grave (por ejemplo, por incumplir su jornada en el puesto público a causa de esa actividad privada) pierde automáticamente la autorización de compatibilidad, sin necesidad de un procedimiento adicional para revocarla.</w:t>
      </w:r>
    </w:p>
    <w:p>
      <w:pPr>
        <w:pStyle w:val="Heading2"/>
        <w:spacing w:after="120" w:before="260"/>
      </w:pPr>
      <w:r>
        <w:t xml:space="preserve">7. Esquema resumen para repaso rápido</w:t>
      </w:r>
    </w:p>
    <w:p>
      <w:pPr>
        <w:spacing w:after="120"/>
        <w:jc w:val="both"/>
      </w:pPr>
      <w:r>
        <w:t xml:space="preserve">| Bloque | Artículos | Idea central |</w:t>
      </w:r>
    </w:p>
    <w:p>
      <w:pPr>
        <w:spacing w:after="120"/>
        <w:jc w:val="both"/>
      </w:pPr>
      <w:r>
        <w:t xml:space="preserve">|---|---|---|</w:t>
      </w:r>
    </w:p>
    <w:p>
      <w:pPr>
        <w:spacing w:after="120"/>
        <w:jc w:val="both"/>
      </w:pPr>
      <w:r>
        <w:t xml:space="preserve">| Principio general | 1 | Regla: incompatibilidad salvo excepción legal y autorización previa |</w:t>
      </w:r>
    </w:p>
    <w:p>
      <w:pPr>
        <w:spacing w:after="120"/>
        <w:jc w:val="both"/>
      </w:pPr>
      <w:r>
        <w:t xml:space="preserve">| Ámbito de aplicación | 2 | Sector público estatal, autonómico, local y empresas con participación pública &gt;50% |</w:t>
      </w:r>
    </w:p>
    <w:p>
      <w:pPr>
        <w:spacing w:after="120"/>
        <w:jc w:val="both"/>
      </w:pPr>
      <w:r>
        <w:t xml:space="preserve">| Segundo puesto público | 3-10 | Solo docencia/sanidad/investigación/cargos electivos; requiere autorización; límite retributivo (Director General + %); órgano competente; plazos (10 días solicitud) |</w:t>
      </w:r>
    </w:p>
    <w:p>
      <w:pPr>
        <w:spacing w:after="120"/>
        <w:jc w:val="both"/>
      </w:pPr>
      <w:r>
        <w:t xml:space="preserve">| Actividad privada | 11-15 | Prohibida si relación directa con el puesto; requiere autorización previa (plazo 2 meses); topes de jornada |</w:t>
      </w:r>
    </w:p>
    <w:p>
      <w:pPr>
        <w:spacing w:after="120"/>
        <w:jc w:val="both"/>
      </w:pPr>
      <w:r>
        <w:t xml:space="preserve">| Disposiciones comunes | 16-20 | Complemento específico &gt;30% impide compatibilidad privada; inscripción en Registro de Personal; excepciones sin autorización (art. 19); régimen sancionador remite a disciplinario, revocación automática en falta grave/muy grave |</w:t>
      </w:r>
    </w:p>
    <w:p>
      <w:pPr>
        <w:pStyle w:val="Heading2"/>
        <w:spacing w:after="120" w:before="260"/>
      </w:pPr>
      <w:r>
        <w:t xml:space="preserve">8. Avisos finales de examen</w:t>
      </w:r>
    </w:p>
    <w:p>
      <w:pPr>
        <w:spacing w:after="120"/>
        <w:jc w:val="both"/>
      </w:pPr>
      <w:r>
        <w:t xml:space="preserve">⚠️ </w:t>
      </w:r>
      <w:r>
        <w:rPr>
          <w:b/>
          <w:bCs/>
        </w:rPr>
        <w:t xml:space="preserve">MUY PREGUNTADO</w:t>
      </w:r>
      <w:r>
        <w:t xml:space="preserve">: la autorización de compatibilidad </w:t>
      </w:r>
      <w:r>
        <w:rPr>
          <w:b/>
          <w:bCs/>
        </w:rPr>
        <w:t xml:space="preserve">nunca es un derecho automático</w:t>
      </w:r>
      <w:r>
        <w:t xml:space="preserve">; siempre requiere </w:t>
      </w:r>
      <w:r>
        <w:rPr>
          <w:b/>
          <w:bCs/>
        </w:rPr>
        <w:t xml:space="preserve">solicitud y resolución expresa</w:t>
      </w:r>
      <w:r>
        <w:t xml:space="preserve"> del órgano competente.</w:t>
      </w:r>
    </w:p>
    <w:p>
      <w:pPr>
        <w:spacing w:after="120"/>
        <w:jc w:val="both"/>
      </w:pPr>
      <w:r>
        <w:t xml:space="preserve">⚠️ </w:t>
      </w:r>
      <w:r>
        <w:rPr>
          <w:b/>
          <w:bCs/>
        </w:rPr>
        <w:t xml:space="preserve">MUY PREGUNTADO</w:t>
      </w:r>
      <w:r>
        <w:t xml:space="preserve">: memorizar los </w:t>
      </w:r>
      <w:r>
        <w:rPr>
          <w:b/>
          <w:bCs/>
        </w:rPr>
        <w:t xml:space="preserve">tres plazos</w:t>
      </w:r>
      <w:r>
        <w:t xml:space="preserve"> de la ley: </w:t>
      </w:r>
      <w:r>
        <w:rPr>
          <w:b/>
          <w:bCs/>
        </w:rPr>
        <w:t xml:space="preserve">10 días</w:t>
      </w:r>
      <w:r>
        <w:t xml:space="preserve"> (solicitud de compatibilidad de segundo puesto público tras toma de posesión, art. 10), </w:t>
      </w:r>
      <w:r>
        <w:rPr>
          <w:b/>
          <w:bCs/>
        </w:rPr>
        <w:t xml:space="preserve">2 meses</w:t>
      </w:r>
      <w:r>
        <w:t xml:space="preserve"> (resolución sobre compatibilidad de actividad privada, art. 14) y </w:t>
      </w:r>
      <w:r>
        <w:rPr>
          <w:b/>
          <w:bCs/>
        </w:rPr>
        <w:t xml:space="preserve">75 horas/año</w:t>
      </w:r>
      <w:r>
        <w:t xml:space="preserve"> (límite de docencia no permanente exceptuada, art. 19).</w:t>
      </w:r>
    </w:p>
    <w:p>
      <w:pPr>
        <w:spacing w:after="120"/>
        <w:jc w:val="both"/>
      </w:pPr>
      <w:r>
        <w:t xml:space="preserve">⚠️ </w:t>
      </w:r>
      <w:r>
        <w:rPr>
          <w:b/>
          <w:bCs/>
        </w:rPr>
        <w:t xml:space="preserve">MUY PREGUNTADO</w:t>
      </w:r>
      <w:r>
        <w:t xml:space="preserve">: el </w:t>
      </w:r>
      <w:r>
        <w:rPr>
          <w:b/>
          <w:bCs/>
        </w:rPr>
        <w:t xml:space="preserve">límite retributivo</w:t>
      </w:r>
      <w:r>
        <w:t xml:space="preserve"> del art. 7 se calcula sobre la retribución de </w:t>
      </w:r>
      <w:r>
        <w:rPr>
          <w:b/>
          <w:bCs/>
        </w:rPr>
        <w:t xml:space="preserve">Director General</w:t>
      </w:r>
      <w:r>
        <w:t xml:space="preserve">, con incrementos del </w:t>
      </w:r>
      <w:r>
        <w:rPr>
          <w:b/>
          <w:bCs/>
        </w:rPr>
        <w:t xml:space="preserve">30% (grupo A) al 50% (grupo E)</w:t>
      </w:r>
      <w:r>
        <w:t xml:space="preserve">.</w:t>
      </w:r>
    </w:p>
    <w:p>
      <w:pPr>
        <w:spacing w:after="120"/>
        <w:jc w:val="both"/>
      </w:pPr>
      <w:r>
        <w:t xml:space="preserve">⚠️ </w:t>
      </w:r>
      <w:r>
        <w:rPr>
          <w:b/>
          <w:bCs/>
        </w:rPr>
        <w:t xml:space="preserve">MUY PREGUNTADO</w:t>
      </w:r>
      <w:r>
        <w:t xml:space="preserve">: el </w:t>
      </w:r>
      <w:r>
        <w:rPr>
          <w:b/>
          <w:bCs/>
        </w:rPr>
        <w:t xml:space="preserve">complemento específico superior al 30% de la retribución básica</w:t>
      </w:r>
      <w:r>
        <w:t xml:space="preserve"> (excluida antigüedad) impide, como regla, la compatibilidad con actividad privada (art. 16).</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2026-08-16T11:14:43.907Z</dcterms:created>
  <dcterms:modified xsi:type="dcterms:W3CDTF">2026-08-16T11:14:43.907Z</dcterms:modified>
</cp:coreProperties>
</file>

<file path=docProps/custom.xml><?xml version="1.0" encoding="utf-8"?>
<Properties xmlns="http://schemas.openxmlformats.org/officeDocument/2006/custom-properties" xmlns:vt="http://schemas.openxmlformats.org/officeDocument/2006/docPropsVTypes"/>
</file>