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6. Ley 1/2014, Transparencia Pública de Andalucía</w:t>
      </w:r>
    </w:p>
    <w:p>
      <w:pPr>
        <w:pStyle w:val="Heading1"/>
        <w:spacing w:after="150" w:before="300"/>
      </w:pPr>
      <w:r>
        <w:t xml:space="preserve">Tema 6: Ley 1/2014, de 24 de junio, de Transparencia Pública de Andalucía</w:t>
      </w:r>
    </w:p>
    <w:p>
      <w:pPr>
        <w:pStyle w:val="Heading2"/>
        <w:spacing w:after="120" w:before="260"/>
      </w:pPr>
      <w:r>
        <w:t xml:space="preserve">0. Introducción y contexto normativo</w:t>
      </w:r>
    </w:p>
    <w:p>
      <w:pPr>
        <w:spacing w:after="120"/>
        <w:jc w:val="both"/>
      </w:pPr>
      <w:r>
        <w:t xml:space="preserve">La Ley 1/2014, de 24 de junio, de Transparencia Pública de Andalucía (en adelante, LTPA) es la norma autonómica que desarrolla y complementa, en el ámbito de Andalucía, lo dispuesto por la legislación básica estatal: la </w:t>
      </w:r>
      <w:r>
        <w:rPr>
          <w:b/>
          <w:bCs/>
        </w:rPr>
        <w:t xml:space="preserve">Ley 19/2013, de 9 de diciembre, de transparencia, acceso a la información pública y buen gobierno</w:t>
      </w:r>
      <w:r>
        <w:t xml:space="preserve"> (LTAIBG). Es importante entender esta relación jerárquica desde el principio, porque es una de las preguntas más frecuentes en examen:</w:t>
      </w:r>
    </w:p>
    <w:p>
      <w:pPr>
        <w:pStyle w:val="ListParagraph"/>
        <w:numPr>
          <w:ilvl w:val="0"/>
          <w:numId w:val="2"/>
        </w:numPr>
        <w:spacing w:after="60"/>
      </w:pPr>
      <w:r>
        <w:t xml:space="preserve">La </w:t>
      </w:r>
      <w:r>
        <w:rPr>
          <w:b/>
          <w:bCs/>
        </w:rPr>
        <w:t xml:space="preserve">Ley 19/2013</w:t>
      </w:r>
      <w:r>
        <w:t xml:space="preserve"> es legislación </w:t>
      </w:r>
      <w:r>
        <w:rPr>
          <w:b/>
          <w:bCs/>
        </w:rPr>
        <w:t xml:space="preserve">básica estatal</w:t>
      </w:r>
      <w:r>
        <w:t xml:space="preserve">, de aplicación en todo el territorio nacional, y fija el contenido mínimo del derecho.</w:t>
      </w:r>
    </w:p>
    <w:p>
      <w:pPr>
        <w:pStyle w:val="ListParagraph"/>
        <w:numPr>
          <w:ilvl w:val="0"/>
          <w:numId w:val="2"/>
        </w:numPr>
        <w:spacing w:after="60"/>
      </w:pPr>
      <w:r>
        <w:t xml:space="preserve">La </w:t>
      </w:r>
      <w:r>
        <w:rPr>
          <w:b/>
          <w:bCs/>
        </w:rPr>
        <w:t xml:space="preserve">Ley 1/2014 andaluza</w:t>
      </w:r>
      <w:r>
        <w:t xml:space="preserve"> no puede rebajar ese mínimo estatal, pero sí puede </w:t>
      </w:r>
      <w:r>
        <w:rPr>
          <w:b/>
          <w:bCs/>
        </w:rPr>
        <w:t xml:space="preserve">ampliarlo</w:t>
      </w:r>
      <w:r>
        <w:t xml:space="preserve"> (más obligaciones de publicidad, más sujetos obligados, procedimientos más favorables al ciudadano).</w:t>
      </w:r>
    </w:p>
    <w:p>
      <w:pPr>
        <w:spacing w:after="120"/>
        <w:jc w:val="both"/>
      </w:pPr>
      <w:r>
        <w:t xml:space="preserve">⚠️ </w:t>
      </w:r>
      <w:r>
        <w:rPr>
          <w:b/>
          <w:bCs/>
        </w:rPr>
        <w:t xml:space="preserve">MUY PREGUNTADO EN EXAMEN</w:t>
      </w:r>
      <w:r>
        <w:t xml:space="preserve">: La Ley andaluza es </w:t>
      </w:r>
      <w:r>
        <w:rPr>
          <w:b/>
          <w:bCs/>
        </w:rPr>
        <w:t xml:space="preserve">posterior</w:t>
      </w:r>
      <w:r>
        <w:t xml:space="preserve"> a la estatal (2014 frente a 2013) y se dicta precisamente para adaptar y desarrollar en Andalucía los mínimos fijados por la Ley 19/2013, ampliándolos.</w:t>
      </w:r>
    </w:p>
    <w:p>
      <w:pPr>
        <w:spacing w:after="120"/>
        <w:jc w:val="both"/>
      </w:pPr>
      <w:r>
        <w:t xml:space="preserve">La LTPA se estructura, a los efectos de este tema, en tres títulos:</w:t>
      </w:r>
    </w:p>
    <w:p>
      <w:pPr>
        <w:pStyle w:val="ListParagraph"/>
        <w:numPr>
          <w:ilvl w:val="0"/>
          <w:numId w:val="2"/>
        </w:numPr>
        <w:spacing w:after="60"/>
      </w:pPr>
      <w:r>
        <w:rPr>
          <w:b/>
          <w:bCs/>
        </w:rPr>
        <w:t xml:space="preserve">Título I</w:t>
      </w:r>
      <w:r>
        <w:t xml:space="preserve">: Disposiciones Generales (arts. 1 a 8).</w:t>
      </w:r>
    </w:p>
    <w:p>
      <w:pPr>
        <w:pStyle w:val="ListParagraph"/>
        <w:numPr>
          <w:ilvl w:val="0"/>
          <w:numId w:val="2"/>
        </w:numPr>
        <w:spacing w:after="60"/>
      </w:pPr>
      <w:r>
        <w:rPr>
          <w:b/>
          <w:bCs/>
        </w:rPr>
        <w:t xml:space="preserve">Título II</w:t>
      </w:r>
      <w:r>
        <w:t xml:space="preserve">: La Publicidad Activa (arts. 9 a 23).</w:t>
      </w:r>
    </w:p>
    <w:p>
      <w:pPr>
        <w:pStyle w:val="ListParagraph"/>
        <w:numPr>
          <w:ilvl w:val="0"/>
          <w:numId w:val="2"/>
        </w:numPr>
        <w:spacing w:after="60"/>
      </w:pPr>
      <w:r>
        <w:rPr>
          <w:b/>
          <w:bCs/>
        </w:rPr>
        <w:t xml:space="preserve">Título III</w:t>
      </w:r>
      <w:r>
        <w:t xml:space="preserve">: El Derecho de Acceso a la Información Pública – Normas Generales, que corresponde a su Capítulo I (arts. 24 a 34).</w:t>
      </w:r>
    </w:p>
    <w:p>
      <w:pPr>
        <w:spacing w:after="120"/>
        <w:jc w:val="both"/>
      </w:pPr>
      <w:r>
        <w:t xml:space="preserve">La ley descansa sobre </w:t>
      </w:r>
      <w:r>
        <w:rPr>
          <w:b/>
          <w:bCs/>
        </w:rPr>
        <w:t xml:space="preserve">dos pilares o mecanismos de transparencia</w:t>
      </w:r>
      <w:r>
        <w:t xml:space="preserve"> que hay que saber diferenciar con precisión, porque es el eje conceptual de todo el tema:</w:t>
      </w:r>
    </w:p>
    <w:p>
      <w:pPr>
        <w:pStyle w:val="ListParagraph"/>
        <w:numPr>
          <w:ilvl w:val="0"/>
          <w:numId w:val="3"/>
        </w:numPr>
        <w:spacing w:after="60"/>
      </w:pPr>
      <w:r>
        <w:rPr>
          <w:b/>
          <w:bCs/>
        </w:rPr>
        <w:t xml:space="preserve">Publicidad activa</w:t>
      </w:r>
      <w:r>
        <w:t xml:space="preserve">: la Administración publica información </w:t>
      </w:r>
      <w:r>
        <w:rPr>
          <w:b/>
          <w:bCs/>
        </w:rPr>
        <w:t xml:space="preserve">por propia iniciativa</w:t>
      </w:r>
      <w:r>
        <w:t xml:space="preserve">, sin que nadie se lo pida, de forma periódica y actualizada.</w:t>
      </w:r>
    </w:p>
    <w:p>
      <w:pPr>
        <w:pStyle w:val="ListParagraph"/>
        <w:numPr>
          <w:ilvl w:val="0"/>
          <w:numId w:val="3"/>
        </w:numPr>
        <w:spacing w:after="60"/>
      </w:pPr>
      <w:r>
        <w:rPr>
          <w:b/>
          <w:bCs/>
        </w:rPr>
        <w:t xml:space="preserve">Derecho de acceso a la información pública</w:t>
      </w:r>
      <w:r>
        <w:t xml:space="preserve">: es la ciudadanía quien </w:t>
      </w:r>
      <w:r>
        <w:rPr>
          <w:b/>
          <w:bCs/>
        </w:rPr>
        <w:t xml:space="preserve">solicita</w:t>
      </w:r>
      <w:r>
        <w:t xml:space="preserve"> una información concreta que no está publicada de oficio, y la Administración debe responder.</w:t>
      </w:r>
    </w:p>
    <w:p>
      <w:pPr>
        <w:pBdr>
          <w:bottom w:val="single" w:color="AAAAAA" w:sz="6" w:space="1"/>
        </w:pBdr>
        <w:spacing w:after="200"/>
      </w:pPr>
    </w:p>
    <w:p>
      <w:pPr>
        <w:pStyle w:val="Heading2"/>
        <w:spacing w:after="120" w:before="260"/>
      </w:pPr>
      <w:r>
        <w:t xml:space="preserve">TÍTULO I. DISPOSICIONES GENERALES (arts. 1 a 8)</w:t>
      </w:r>
    </w:p>
    <w:p>
      <w:pPr>
        <w:pStyle w:val="Heading3"/>
        <w:spacing w:after="100" w:before="200"/>
      </w:pPr>
      <w:r>
        <w:t xml:space="preserve">Objeto y definiciones (arts. 1 y 2)</w:t>
      </w:r>
    </w:p>
    <w:p>
      <w:pPr>
        <w:spacing w:after="120"/>
        <w:jc w:val="both"/>
      </w:pPr>
      <w:r>
        <w:t xml:space="preserve">El </w:t>
      </w:r>
      <w:r>
        <w:rPr>
          <w:b/>
          <w:bCs/>
        </w:rPr>
        <w:t xml:space="preserve">artículo 1</w:t>
      </w:r>
      <w:r>
        <w:t xml:space="preserve"> define el objeto de la ley: regular, en Andalucía, la transparencia en su "doble vertiente de publicidad activa y de derecho de acceso a la información pública". Esta frase resume el esqueleto de toda la ley y conviene memorizarla literalmente porque es fácil de convertir en pregunta de examen.</w:t>
      </w:r>
    </w:p>
    <w:p>
      <w:pPr>
        <w:spacing w:after="120"/>
        <w:jc w:val="both"/>
      </w:pPr>
      <w:r>
        <w:t xml:space="preserve">El </w:t>
      </w:r>
      <w:r>
        <w:rPr>
          <w:b/>
          <w:bCs/>
        </w:rPr>
        <w:t xml:space="preserve">artículo 2</w:t>
      </w:r>
      <w:r>
        <w:t xml:space="preserve"> aporta las definiciones legales que sirven de base a todo lo demás:</w:t>
      </w:r>
    </w:p>
    <w:p>
      <w:pPr>
        <w:pStyle w:val="ListParagraph"/>
        <w:numPr>
          <w:ilvl w:val="0"/>
          <w:numId w:val="2"/>
        </w:numPr>
        <w:spacing w:after="60"/>
      </w:pPr>
      <w:r>
        <w:rPr>
          <w:b/>
          <w:bCs/>
        </w:rPr>
        <w:t xml:space="preserve">Información pública</w:t>
      </w:r>
      <w:r>
        <w:t xml:space="preserve">: los contenidos o documentos, cualquiera que sea su formato o soporte, que obren en poder de alguno de los sujetos incluidos en el ámbito de aplicación de la ley y que hayan sido elaborados o adquiridos en el ejercicio de sus funciones.</w:t>
      </w:r>
    </w:p>
    <w:p>
      <w:pPr>
        <w:pStyle w:val="ListParagraph"/>
        <w:numPr>
          <w:ilvl w:val="0"/>
          <w:numId w:val="2"/>
        </w:numPr>
        <w:spacing w:after="60"/>
      </w:pPr>
      <w:r>
        <w:rPr>
          <w:b/>
          <w:bCs/>
        </w:rPr>
        <w:t xml:space="preserve">Publicidad activa</w:t>
      </w:r>
      <w:r>
        <w:t xml:space="preserve">: la difusión por propia iniciativa de la información pública cuyo conocimiento sea relevante para garantizar la transparencia de la actividad relacionada con el funcionamiento y control de la actuación pública.</w:t>
      </w:r>
    </w:p>
    <w:p>
      <w:pPr>
        <w:pStyle w:val="ListParagraph"/>
        <w:numPr>
          <w:ilvl w:val="0"/>
          <w:numId w:val="2"/>
        </w:numPr>
        <w:spacing w:after="60"/>
      </w:pPr>
      <w:r>
        <w:rPr>
          <w:b/>
          <w:bCs/>
        </w:rPr>
        <w:t xml:space="preserve">Acceso a la información pública</w:t>
      </w:r>
      <w:r>
        <w:t xml:space="preserve">: el derecho de la ciudadanía a solicitar y recibir información pública, en los términos previstos en la ley.</w:t>
      </w:r>
    </w:p>
    <w:p>
      <w:pPr>
        <w:pStyle w:val="ListParagraph"/>
        <w:numPr>
          <w:ilvl w:val="0"/>
          <w:numId w:val="2"/>
        </w:numPr>
        <w:spacing w:after="60"/>
      </w:pPr>
      <w:r>
        <w:rPr>
          <w:b/>
          <w:bCs/>
        </w:rPr>
        <w:t xml:space="preserve">Portal de la Junta de Andalucía</w:t>
      </w:r>
      <w:r>
        <w:t xml:space="preserve">: la plataforma electrónica a través de la cual se ofrece y canaliza el acceso a los contenidos y servicios actualizados de la Administración de la Junta.</w:t>
      </w:r>
    </w:p>
    <w:p>
      <w:pPr>
        <w:pStyle w:val="Heading3"/>
        <w:spacing w:after="100" w:before="200"/>
      </w:pPr>
      <w:r>
        <w:t xml:space="preserve">Ámbito subjetivo de aplicación (art. 3)</w:t>
      </w:r>
    </w:p>
    <w:p>
      <w:pPr>
        <w:spacing w:after="120"/>
        <w:jc w:val="both"/>
      </w:pPr>
      <w:r>
        <w:t xml:space="preserve">El </w:t>
      </w:r>
      <w:r>
        <w:rPr>
          <w:b/>
          <w:bCs/>
        </w:rPr>
        <w:t xml:space="preserve">artículo 3</w:t>
      </w:r>
      <w:r>
        <w:t xml:space="preserve"> delimita a quién obliga la ley. Este es un contenido muy examinable porque el listado es amplio y detallado. En síntesis, quedan sujetos:</w:t>
      </w:r>
    </w:p>
    <w:p>
      <w:pPr>
        <w:pStyle w:val="ListParagraph"/>
        <w:numPr>
          <w:ilvl w:val="0"/>
          <w:numId w:val="2"/>
        </w:numPr>
        <w:spacing w:after="60"/>
      </w:pPr>
      <w:r>
        <w:t xml:space="preserve">Las Administraciones públicas andaluzas (Junta de Andalucía y entidades locales de Andalucía).</w:t>
      </w:r>
    </w:p>
    <w:p>
      <w:pPr>
        <w:pStyle w:val="ListParagraph"/>
        <w:numPr>
          <w:ilvl w:val="0"/>
          <w:numId w:val="2"/>
        </w:numPr>
        <w:spacing w:after="60"/>
      </w:pPr>
      <w:r>
        <w:t xml:space="preserve">Los órganos estatutarios (Parlamento de Andalucía, Consejo Consultivo, Cámara de Cuentas, Defensor del Pueblo Andaluz, etc.) en lo relativo a su actividad sujeta a Derecho Administrativo.</w:t>
      </w:r>
    </w:p>
    <w:p>
      <w:pPr>
        <w:pStyle w:val="ListParagraph"/>
        <w:numPr>
          <w:ilvl w:val="0"/>
          <w:numId w:val="2"/>
        </w:numPr>
        <w:spacing w:after="60"/>
      </w:pPr>
      <w:r>
        <w:t xml:space="preserve">Las universidades públicas andaluzas.</w:t>
      </w:r>
    </w:p>
    <w:p>
      <w:pPr>
        <w:pStyle w:val="ListParagraph"/>
        <w:numPr>
          <w:ilvl w:val="0"/>
          <w:numId w:val="2"/>
        </w:numPr>
        <w:spacing w:after="60"/>
      </w:pPr>
      <w:r>
        <w:t xml:space="preserve">Las entidades de derecho público vinculadas o dependientes de las Administraciones (organismos autónomos, agencias públicas...).</w:t>
      </w:r>
    </w:p>
    <w:p>
      <w:pPr>
        <w:pStyle w:val="ListParagraph"/>
        <w:numPr>
          <w:ilvl w:val="0"/>
          <w:numId w:val="2"/>
        </w:numPr>
        <w:spacing w:after="60"/>
      </w:pPr>
      <w:r>
        <w:t xml:space="preserve">Las sociedades mercantiles con participación pública mayoritaria (más del 50%).</w:t>
      </w:r>
    </w:p>
    <w:p>
      <w:pPr>
        <w:pStyle w:val="ListParagraph"/>
        <w:numPr>
          <w:ilvl w:val="0"/>
          <w:numId w:val="2"/>
        </w:numPr>
        <w:spacing w:after="60"/>
      </w:pPr>
      <w:r>
        <w:t xml:space="preserve">Las fundaciones del sector público andaluz.</w:t>
      </w:r>
    </w:p>
    <w:p>
      <w:pPr>
        <w:pStyle w:val="ListParagraph"/>
        <w:numPr>
          <w:ilvl w:val="0"/>
          <w:numId w:val="2"/>
        </w:numPr>
        <w:spacing w:after="60"/>
      </w:pPr>
      <w:r>
        <w:t xml:space="preserve">Los consorcios y asociaciones constituidos por Administraciones públicas.</w:t>
      </w:r>
    </w:p>
    <w:p>
      <w:pPr>
        <w:spacing w:after="120"/>
        <w:jc w:val="both"/>
      </w:pPr>
      <w:r>
        <w:t xml:space="preserve">⚠️ </w:t>
      </w:r>
      <w:r>
        <w:rPr>
          <w:b/>
          <w:bCs/>
        </w:rPr>
        <w:t xml:space="preserve">MUY PREGUNTADO EN EXAMEN</w:t>
      </w:r>
      <w:r>
        <w:t xml:space="preserve">: se suele preguntar si "todas" las entidades privadas están sujetas, o solo aquellas con participación pública </w:t>
      </w:r>
      <w:r>
        <w:rPr>
          <w:b/>
          <w:bCs/>
        </w:rPr>
        <w:t xml:space="preserve">mayoritaria</w:t>
      </w:r>
      <w:r>
        <w:t xml:space="preserve"> (más del 50%). También se pregunta la diferencia entre "sujetos obligados directos" (art. 3) y "otros sujetos obligados" con obligaciones más limitadas (art. 5).</w:t>
      </w:r>
    </w:p>
    <w:p>
      <w:pPr>
        <w:pStyle w:val="Heading3"/>
        <w:spacing w:after="100" w:before="200"/>
      </w:pPr>
      <w:r>
        <w:t xml:space="preserve">Obligación de suministrar información y otros sujetos obligados (arts. 4 y 5)</w:t>
      </w:r>
    </w:p>
    <w:p>
      <w:pPr>
        <w:spacing w:after="120"/>
        <w:jc w:val="both"/>
      </w:pPr>
      <w:r>
        <w:t xml:space="preserve">El </w:t>
      </w:r>
      <w:r>
        <w:rPr>
          <w:b/>
          <w:bCs/>
        </w:rPr>
        <w:t xml:space="preserve">artículo 4</w:t>
      </w:r>
      <w:r>
        <w:t xml:space="preserve"> obliga a las personas físicas o jurídicas que presten servicios públicos o ejerzan potestades administrativas por delegación o encomienda, así como a los adjudicatarios de contratos del sector público, a </w:t>
      </w:r>
      <w:r>
        <w:rPr>
          <w:b/>
          <w:bCs/>
        </w:rPr>
        <w:t xml:space="preserve">suministrar a la Administración toda la información necesaria</w:t>
      </w:r>
      <w:r>
        <w:t xml:space="preserve"> para el cumplimiento de las obligaciones de la ley. Esta obligación debe incluirse expresamente como condición en los contratos, convenios y en las bases reguladoras de subvenciones. El incumplimiento reiterado puede dar lugar a la imposición de </w:t>
      </w:r>
      <w:r>
        <w:rPr>
          <w:b/>
          <w:bCs/>
        </w:rPr>
        <w:t xml:space="preserve">multas coercitivas</w:t>
      </w:r>
      <w:r>
        <w:t xml:space="preserve">.</w:t>
      </w:r>
    </w:p>
    <w:p>
      <w:pPr>
        <w:spacing w:after="120"/>
        <w:jc w:val="both"/>
      </w:pPr>
      <w:r>
        <w:t xml:space="preserve">El </w:t>
      </w:r>
      <w:r>
        <w:rPr>
          <w:b/>
          <w:bCs/>
        </w:rPr>
        <w:t xml:space="preserve">artículo 5</w:t>
      </w:r>
      <w:r>
        <w:t xml:space="preserve"> extiende un régimen de transparencia (más limitado) a otros sujetos que, sin ser Administración, gestionan fondos públicos relevantes: </w:t>
      </w:r>
      <w:r>
        <w:rPr>
          <w:b/>
          <w:bCs/>
        </w:rPr>
        <w:t xml:space="preserve">partidos políticos, organizaciones sindicales y organizaciones empresariales</w:t>
      </w:r>
      <w:r>
        <w:t xml:space="preserve"> que perciban ayudas o subvenciones públicas superiores a </w:t>
      </w:r>
      <w:r>
        <w:rPr>
          <w:b/>
          <w:bCs/>
        </w:rPr>
        <w:t xml:space="preserve">100.000 euros anuales</w:t>
      </w:r>
      <w:r>
        <w:t xml:space="preserve">, así como entidades privadas que perciban durante el período de un año ayudas o subvenciones públicas en una cuantía superior a esa cifra o cuando al menos el 40% de sus ingresos anuales tenga carácter de ayuda o subvención pública.</w:t>
      </w:r>
    </w:p>
    <w:p>
      <w:pPr>
        <w:spacing w:after="120"/>
        <w:jc w:val="both"/>
      </w:pPr>
      <w:r>
        <w:t xml:space="preserve">⚠️ </w:t>
      </w:r>
      <w:r>
        <w:rPr>
          <w:b/>
          <w:bCs/>
        </w:rPr>
        <w:t xml:space="preserve">MUY PREGUNTADO EN EXAMEN</w:t>
      </w:r>
      <w:r>
        <w:t xml:space="preserve">: la cifra de </w:t>
      </w:r>
      <w:r>
        <w:rPr>
          <w:b/>
          <w:bCs/>
        </w:rPr>
        <w:t xml:space="preserve">100.000 euros anuales</w:t>
      </w:r>
      <w:r>
        <w:t xml:space="preserve"> para partidos, sindicatos y patronales es un dato numérico muy socorrido en preguntas tipo test.</w:t>
      </w:r>
    </w:p>
    <w:p>
      <w:pPr>
        <w:pStyle w:val="Heading3"/>
        <w:spacing w:after="100" w:before="200"/>
      </w:pPr>
      <w:r>
        <w:t xml:space="preserve">Principios básicos (art. 6)</w:t>
      </w:r>
    </w:p>
    <w:p>
      <w:pPr>
        <w:spacing w:after="120"/>
        <w:jc w:val="both"/>
      </w:pPr>
      <w:r>
        <w:t xml:space="preserve">El </w:t>
      </w:r>
      <w:r>
        <w:rPr>
          <w:b/>
          <w:bCs/>
        </w:rPr>
        <w:t xml:space="preserve">artículo 6</w:t>
      </w:r>
      <w:r>
        <w:t xml:space="preserve"> enumera los principios que informan la aplicación de la ley. Conviene entenderlos como "reglas de juego" que después se concretan en obligaciones prácticas:</w:t>
      </w:r>
    </w:p>
    <w:p>
      <w:pPr>
        <w:pStyle w:val="ListParagraph"/>
        <w:numPr>
          <w:ilvl w:val="0"/>
          <w:numId w:val="2"/>
        </w:numPr>
        <w:spacing w:after="60"/>
      </w:pPr>
      <w:r>
        <w:rPr>
          <w:b/>
          <w:bCs/>
        </w:rPr>
        <w:t xml:space="preserve">Transparencia y buena administración</w:t>
      </w:r>
      <w:r>
        <w:t xml:space="preserve">.</w:t>
      </w:r>
    </w:p>
    <w:p>
      <w:pPr>
        <w:pStyle w:val="ListParagraph"/>
        <w:numPr>
          <w:ilvl w:val="0"/>
          <w:numId w:val="2"/>
        </w:numPr>
        <w:spacing w:after="60"/>
      </w:pPr>
      <w:r>
        <w:rPr>
          <w:b/>
          <w:bCs/>
        </w:rPr>
        <w:t xml:space="preserve">Libre acceso</w:t>
      </w:r>
      <w:r>
        <w:t xml:space="preserve"> a la información pública.</w:t>
      </w:r>
    </w:p>
    <w:p>
      <w:pPr>
        <w:pStyle w:val="ListParagraph"/>
        <w:numPr>
          <w:ilvl w:val="0"/>
          <w:numId w:val="2"/>
        </w:numPr>
        <w:spacing w:after="60"/>
      </w:pPr>
      <w:r>
        <w:rPr>
          <w:b/>
          <w:bCs/>
        </w:rPr>
        <w:t xml:space="preserve">Veracidad</w:t>
      </w:r>
      <w:r>
        <w:t xml:space="preserve">: la información debe ser cierta y exacta.</w:t>
      </w:r>
    </w:p>
    <w:p>
      <w:pPr>
        <w:pStyle w:val="ListParagraph"/>
        <w:numPr>
          <w:ilvl w:val="0"/>
          <w:numId w:val="2"/>
        </w:numPr>
        <w:spacing w:after="60"/>
      </w:pPr>
      <w:r>
        <w:rPr>
          <w:b/>
          <w:bCs/>
        </w:rPr>
        <w:t xml:space="preserve">Utilidad</w:t>
      </w:r>
      <w:r>
        <w:t xml:space="preserve">: debe servir para el conocimiento de la actividad pública.</w:t>
      </w:r>
    </w:p>
    <w:p>
      <w:pPr>
        <w:pStyle w:val="ListParagraph"/>
        <w:numPr>
          <w:ilvl w:val="0"/>
          <w:numId w:val="2"/>
        </w:numPr>
        <w:spacing w:after="60"/>
      </w:pPr>
      <w:r>
        <w:rPr>
          <w:b/>
          <w:bCs/>
        </w:rPr>
        <w:t xml:space="preserve">Facilidad, comprensión y accesibilidad universal</w:t>
      </w:r>
      <w:r>
        <w:t xml:space="preserve"> (incluye personas con discapacidad).</w:t>
      </w:r>
    </w:p>
    <w:p>
      <w:pPr>
        <w:pStyle w:val="ListParagraph"/>
        <w:numPr>
          <w:ilvl w:val="0"/>
          <w:numId w:val="2"/>
        </w:numPr>
        <w:spacing w:after="60"/>
      </w:pPr>
      <w:r>
        <w:rPr>
          <w:b/>
          <w:bCs/>
        </w:rPr>
        <w:t xml:space="preserve">Gratuidad</w:t>
      </w:r>
      <w:r>
        <w:t xml:space="preserve"> del acceso a la información (sin perjuicio de las normas sobre reproducción o envío de copias).</w:t>
      </w:r>
    </w:p>
    <w:p>
      <w:pPr>
        <w:pStyle w:val="ListParagraph"/>
        <w:numPr>
          <w:ilvl w:val="0"/>
          <w:numId w:val="2"/>
        </w:numPr>
        <w:spacing w:after="60"/>
      </w:pPr>
      <w:r>
        <w:rPr>
          <w:b/>
          <w:bCs/>
        </w:rPr>
        <w:t xml:space="preserve">No discriminación tecnológica</w:t>
      </w:r>
      <w:r>
        <w:t xml:space="preserve">: la información debe estar disponible en varios formatos.</w:t>
      </w:r>
    </w:p>
    <w:p>
      <w:pPr>
        <w:pStyle w:val="ListParagraph"/>
        <w:numPr>
          <w:ilvl w:val="0"/>
          <w:numId w:val="2"/>
        </w:numPr>
        <w:spacing w:after="60"/>
      </w:pPr>
      <w:r>
        <w:rPr>
          <w:b/>
          <w:bCs/>
        </w:rPr>
        <w:t xml:space="preserve">Interoperabilidad y reutilización</w:t>
      </w:r>
      <w:r>
        <w:t xml:space="preserve"> de la información.</w:t>
      </w:r>
    </w:p>
    <w:p>
      <w:pPr>
        <w:pStyle w:val="Heading3"/>
        <w:spacing w:after="100" w:before="200"/>
      </w:pPr>
      <w:r>
        <w:t xml:space="preserve">Derechos y obligaciones de la ciudadanía (arts. 7 y 8)</w:t>
      </w:r>
    </w:p>
    <w:p>
      <w:pPr>
        <w:spacing w:after="120"/>
        <w:jc w:val="both"/>
      </w:pPr>
      <w:r>
        <w:t xml:space="preserve">El </w:t>
      </w:r>
      <w:r>
        <w:rPr>
          <w:b/>
          <w:bCs/>
        </w:rPr>
        <w:t xml:space="preserve">artículo 7</w:t>
      </w:r>
      <w:r>
        <w:t xml:space="preserve"> reconoce a la ciudadanía, entre otros, el derecho a:</w:t>
      </w:r>
    </w:p>
    <w:p>
      <w:pPr>
        <w:pStyle w:val="ListParagraph"/>
        <w:numPr>
          <w:ilvl w:val="0"/>
          <w:numId w:val="2"/>
        </w:numPr>
        <w:spacing w:after="60"/>
      </w:pPr>
      <w:r>
        <w:t xml:space="preserve">Acceder a la publicidad activa y a la información pública en los términos de la ley.</w:t>
      </w:r>
    </w:p>
    <w:p>
      <w:pPr>
        <w:pStyle w:val="ListParagraph"/>
        <w:numPr>
          <w:ilvl w:val="0"/>
          <w:numId w:val="2"/>
        </w:numPr>
        <w:spacing w:after="60"/>
      </w:pPr>
      <w:r>
        <w:t xml:space="preserve">Obtener información en formatos accesibles.</w:t>
      </w:r>
    </w:p>
    <w:p>
      <w:pPr>
        <w:pStyle w:val="ListParagraph"/>
        <w:numPr>
          <w:ilvl w:val="0"/>
          <w:numId w:val="2"/>
        </w:numPr>
        <w:spacing w:after="60"/>
      </w:pPr>
      <w:r>
        <w:t xml:space="preserve">Ser asistida en la búsqueda de información.</w:t>
      </w:r>
    </w:p>
    <w:p>
      <w:pPr>
        <w:pStyle w:val="ListParagraph"/>
        <w:numPr>
          <w:ilvl w:val="0"/>
          <w:numId w:val="2"/>
        </w:numPr>
        <w:spacing w:after="60"/>
      </w:pPr>
      <w:r>
        <w:t xml:space="preserve">Obtener resoluciones </w:t>
      </w:r>
      <w:r>
        <w:rPr>
          <w:b/>
          <w:bCs/>
        </w:rPr>
        <w:t xml:space="preserve">motivadas</w:t>
      </w:r>
      <w:r>
        <w:t xml:space="preserve"> cuando se inadmita, deniegue o se conceda de forma parcial el acceso.</w:t>
      </w:r>
    </w:p>
    <w:p>
      <w:pPr>
        <w:pStyle w:val="ListParagraph"/>
        <w:numPr>
          <w:ilvl w:val="0"/>
          <w:numId w:val="2"/>
        </w:numPr>
        <w:spacing w:after="60"/>
      </w:pPr>
      <w:r>
        <w:t xml:space="preserve">Utilizar y reutilizar libremente la información obtenida, sin necesidad de autorización previa, salvo las excepciones previstas legalmente.</w:t>
      </w:r>
    </w:p>
    <w:p>
      <w:pPr>
        <w:spacing w:after="120"/>
        <w:jc w:val="both"/>
      </w:pPr>
      <w:r>
        <w:t xml:space="preserve">El </w:t>
      </w:r>
      <w:r>
        <w:rPr>
          <w:b/>
          <w:bCs/>
        </w:rPr>
        <w:t xml:space="preserve">artículo 8</w:t>
      </w:r>
      <w:r>
        <w:t xml:space="preserve"> impone a quien accede a la información el deber de ejercer ese derecho con </w:t>
      </w:r>
      <w:r>
        <w:rPr>
          <w:b/>
          <w:bCs/>
        </w:rPr>
        <w:t xml:space="preserve">buena fe</w:t>
      </w:r>
      <w:r>
        <w:t xml:space="preserve"> y con </w:t>
      </w:r>
      <w:r>
        <w:rPr>
          <w:b/>
          <w:bCs/>
        </w:rPr>
        <w:t xml:space="preserve">interdicción del abuso de derecho</w:t>
      </w:r>
      <w:r>
        <w:t xml:space="preserve">, evitando solicitudes que perturben gravemente el funcionamiento de los servicios públicos, y respetando las normas de reutilización cuando corresponda.</w:t>
      </w:r>
    </w:p>
    <w:p>
      <w:pPr>
        <w:pBdr>
          <w:bottom w:val="single" w:color="AAAAAA" w:sz="6" w:space="1"/>
        </w:pBdr>
        <w:spacing w:after="200"/>
      </w:pPr>
    </w:p>
    <w:p>
      <w:pPr>
        <w:pStyle w:val="Heading2"/>
        <w:spacing w:after="120" w:before="260"/>
      </w:pPr>
      <w:r>
        <w:t xml:space="preserve">TÍTULO II. LA PUBLICIDAD ACTIVA (arts. 9 a 23)</w:t>
      </w:r>
    </w:p>
    <w:p>
      <w:pPr>
        <w:pStyle w:val="Heading3"/>
        <w:spacing w:after="100" w:before="200"/>
      </w:pPr>
      <w:r>
        <w:t xml:space="preserve">¿Qué es y para qué sirve?</w:t>
      </w:r>
    </w:p>
    <w:p>
      <w:pPr>
        <w:spacing w:after="120"/>
        <w:jc w:val="both"/>
      </w:pPr>
      <w:r>
        <w:t xml:space="preserve">La publicidad activa es la obligación de las entidades sujetas a la ley de </w:t>
      </w:r>
      <w:r>
        <w:rPr>
          <w:b/>
          <w:bCs/>
        </w:rPr>
        <w:t xml:space="preserve">publicar, por iniciativa propia</w:t>
      </w:r>
      <w:r>
        <w:t xml:space="preserve">, la información pública relevante, sin esperar a que nadie la solicite. La idea es que la ciudadanía pueda conocer el funcionamiento, la organización, la actividad, el gasto y las decisiones de las Administraciones simplemente </w:t>
      </w:r>
      <w:r>
        <w:rPr>
          <w:b/>
          <w:bCs/>
        </w:rPr>
        <w:t xml:space="preserve">consultando internet</w:t>
      </w:r>
      <w:r>
        <w:t xml:space="preserve">, sin necesidad de presentar una solicitud formal.</w:t>
      </w:r>
    </w:p>
    <w:p>
      <w:pPr>
        <w:spacing w:after="120"/>
        <w:jc w:val="both"/>
      </w:pPr>
      <w:r>
        <w:t xml:space="preserve">Piénsalo con un ejemplo: si quieres saber cuánto cobra el Rector de una universidad pública, esa es información que la universidad debe tener </w:t>
      </w:r>
      <w:r>
        <w:rPr>
          <w:b/>
          <w:bCs/>
        </w:rPr>
        <w:t xml:space="preserve">ya publicada</w:t>
      </w:r>
      <w:r>
        <w:t xml:space="preserve"> en su Portal de Transparencia (publicidad activa); no hace falta que la pidas expresamente. En cambio, si quieres un dato muy concreto y no publicado (por ejemplo, el número exacto de expedientes sancionadores tramitados en un departamento durante un mes concreto), probablemente tengas que ejercer el </w:t>
      </w:r>
      <w:r>
        <w:rPr>
          <w:b/>
          <w:bCs/>
        </w:rPr>
        <w:t xml:space="preserve">derecho de acceso</w:t>
      </w:r>
      <w:r>
        <w:t xml:space="preserve"> (Título III).</w:t>
      </w:r>
    </w:p>
    <w:p>
      <w:pPr>
        <w:pStyle w:val="Heading3"/>
        <w:spacing w:after="100" w:before="200"/>
      </w:pPr>
      <w:r>
        <w:t xml:space="preserve">Normas generales de la publicidad activa (art. 9)</w:t>
      </w:r>
    </w:p>
    <w:p>
      <w:pPr>
        <w:spacing w:after="120"/>
        <w:jc w:val="both"/>
      </w:pPr>
      <w:r>
        <w:t xml:space="preserve">El artículo 9 fija las reglas comunes:</w:t>
      </w:r>
    </w:p>
    <w:p>
      <w:pPr>
        <w:pStyle w:val="ListParagraph"/>
        <w:numPr>
          <w:ilvl w:val="0"/>
          <w:numId w:val="2"/>
        </w:numPr>
        <w:spacing w:after="60"/>
      </w:pPr>
      <w:r>
        <w:t xml:space="preserve">La información se publicará de forma </w:t>
      </w:r>
      <w:r>
        <w:rPr>
          <w:b/>
          <w:bCs/>
        </w:rPr>
        <w:t xml:space="preserve">periódica, veraz, objetiva y actualizada</w:t>
      </w:r>
      <w:r>
        <w:t xml:space="preserve">.</w:t>
      </w:r>
    </w:p>
    <w:p>
      <w:pPr>
        <w:pStyle w:val="ListParagraph"/>
        <w:numPr>
          <w:ilvl w:val="0"/>
          <w:numId w:val="2"/>
        </w:numPr>
        <w:spacing w:after="60"/>
      </w:pPr>
      <w:r>
        <w:t xml:space="preserve">Se garantizará el acceso a la información a través de medios y </w:t>
      </w:r>
      <w:r>
        <w:rPr>
          <w:b/>
          <w:bCs/>
        </w:rPr>
        <w:t xml:space="preserve">formatos accesibles</w:t>
      </w:r>
      <w:r>
        <w:t xml:space="preserve">, comprensibles y gratuitos, respetando las obligaciones de </w:t>
      </w:r>
      <w:r>
        <w:rPr>
          <w:b/>
          <w:bCs/>
        </w:rPr>
        <w:t xml:space="preserve">accesibilidad universal</w:t>
      </w:r>
      <w:r>
        <w:t xml:space="preserve">.</w:t>
      </w:r>
    </w:p>
    <w:p>
      <w:pPr>
        <w:pStyle w:val="ListParagraph"/>
        <w:numPr>
          <w:ilvl w:val="0"/>
          <w:numId w:val="2"/>
        </w:numPr>
        <w:spacing w:after="60"/>
      </w:pPr>
      <w:r>
        <w:t xml:space="preserve">La actualización debe hacerse, salvo que se indique otro plazo específico, con </w:t>
      </w:r>
      <w:r>
        <w:rPr>
          <w:b/>
          <w:bCs/>
        </w:rPr>
        <w:t xml:space="preserve">carácter general con periodicidad trimestral</w:t>
      </w:r>
      <w:r>
        <w:t xml:space="preserve"> (para muchos contenidos).</w:t>
      </w:r>
    </w:p>
    <w:p>
      <w:pPr>
        <w:pStyle w:val="ListParagraph"/>
        <w:numPr>
          <w:ilvl w:val="0"/>
          <w:numId w:val="2"/>
        </w:numPr>
        <w:spacing w:after="60"/>
      </w:pPr>
      <w:r>
        <w:t xml:space="preserve">Los estándares de publicidad activa que fija la ley tienen carácter de </w:t>
      </w:r>
      <w:r>
        <w:rPr>
          <w:b/>
          <w:bCs/>
        </w:rPr>
        <w:t xml:space="preserve">mínimos</w:t>
      </w:r>
      <w:r>
        <w:t xml:space="preserve">: las entidades pueden ampliarlos.</w:t>
      </w:r>
    </w:p>
    <w:p>
      <w:pPr>
        <w:pStyle w:val="ListParagraph"/>
        <w:numPr>
          <w:ilvl w:val="0"/>
          <w:numId w:val="2"/>
        </w:numPr>
        <w:spacing w:after="60"/>
      </w:pPr>
      <w:r>
        <w:t xml:space="preserve">La publicación debe respetar en todo caso los límites derivados de la </w:t>
      </w:r>
      <w:r>
        <w:rPr>
          <w:b/>
          <w:bCs/>
        </w:rPr>
        <w:t xml:space="preserve">protección de datos de carácter personal</w:t>
      </w:r>
      <w:r>
        <w:t xml:space="preserve"> y de otros derechos que puedan verse afectados (propiedad intelectual, secreto comercial, etc.).</w:t>
      </w:r>
    </w:p>
    <w:p>
      <w:pPr>
        <w:spacing w:after="120"/>
        <w:jc w:val="both"/>
      </w:pPr>
      <w:r>
        <w:t xml:space="preserve">⚠️ </w:t>
      </w:r>
      <w:r>
        <w:rPr>
          <w:b/>
          <w:bCs/>
        </w:rPr>
        <w:t xml:space="preserve">MUY PREGUNTADO EN EXAMEN</w:t>
      </w:r>
      <w:r>
        <w:t xml:space="preserve">: la periodicidad general de actualización (</w:t>
      </w:r>
      <w:r>
        <w:rPr>
          <w:b/>
          <w:bCs/>
        </w:rPr>
        <w:t xml:space="preserve">trimestral</w:t>
      </w:r>
      <w:r>
        <w:t xml:space="preserve">) y el carácter de </w:t>
      </w:r>
      <w:r>
        <w:rPr>
          <w:b/>
          <w:bCs/>
        </w:rPr>
        <w:t xml:space="preserve">mínimos</w:t>
      </w:r>
      <w:r>
        <w:t xml:space="preserve"> de las obligaciones (las entidades pueden ir más allá, pero no publicar menos de lo exigido).</w:t>
      </w:r>
    </w:p>
    <w:p>
      <w:pPr>
        <w:pStyle w:val="Heading3"/>
        <w:spacing w:after="100" w:before="200"/>
      </w:pPr>
      <w:r>
        <w:t xml:space="preserve">Bloques de información que deben publicarse (arts. 10 a 16)</w:t>
      </w:r>
    </w:p>
    <w:p>
      <w:pPr>
        <w:spacing w:after="120"/>
        <w:jc w:val="both"/>
      </w:pPr>
      <w:r>
        <w:t xml:space="preserve">La ley organiza el contenido obligatorio de la publicidad activa en </w:t>
      </w:r>
      <w:r>
        <w:rPr>
          <w:b/>
          <w:bCs/>
        </w:rPr>
        <w:t xml:space="preserve">bloques temáticos</w:t>
      </w:r>
      <w:r>
        <w:t xml:space="preserve">. Es más útil entenderlos por bloques que memorizar artículo por artículo:</w:t>
      </w:r>
    </w:p>
    <w:p>
      <w:pPr>
        <w:spacing w:after="120"/>
        <w:jc w:val="both"/>
      </w:pPr>
      <w:r>
        <w:rPr>
          <w:b/>
          <w:bCs/>
        </w:rPr>
        <w:t xml:space="preserve">1. Información institucional y organizativa (art. 10).</w:t>
      </w:r>
      <w:r>
        <w:t xml:space="preserve"> Funciones y competencias, normativa aplicable, estructura organizativa (organigramas), sede y horarios de atención, órganos colegiados, relaciones de puestos de trabajo, retribuciones, catálogo de procesos de selección de personal, y datos de contacto.</w:t>
      </w:r>
    </w:p>
    <w:p>
      <w:pPr>
        <w:spacing w:after="120"/>
        <w:jc w:val="both"/>
      </w:pPr>
      <w:r>
        <w:rPr>
          <w:b/>
          <w:bCs/>
        </w:rPr>
        <w:t xml:space="preserve">2. Información sobre altos cargos (art. 11).</w:t>
      </w:r>
      <w:r>
        <w:t xml:space="preserve"> Identificación de los altos cargos y personas que ejercen la máxima responsabilidad de las entidades incluidas en el ámbito de aplicación; sus </w:t>
      </w:r>
      <w:r>
        <w:rPr>
          <w:b/>
          <w:bCs/>
        </w:rPr>
        <w:t xml:space="preserve">retribuciones anuales</w:t>
      </w:r>
      <w:r>
        <w:t xml:space="preserve">; indemnizaciones que, en su caso, perciban con ocasión del cese; </w:t>
      </w:r>
      <w:r>
        <w:rPr>
          <w:b/>
          <w:bCs/>
        </w:rPr>
        <w:t xml:space="preserve">declaraciones de actividades, bienes e intereses</w:t>
      </w:r>
      <w:r>
        <w:t xml:space="preserve">. Se protege, no obstante, la localización exacta de los bienes inmuebles (por motivos de seguridad).</w:t>
      </w:r>
    </w:p>
    <w:p>
      <w:pPr>
        <w:spacing w:after="120"/>
        <w:jc w:val="both"/>
      </w:pPr>
      <w:r>
        <w:rPr>
          <w:b/>
          <w:bCs/>
        </w:rPr>
        <w:t xml:space="preserve">3. Información sobre planificación y evaluación (art. 12).</w:t>
      </w:r>
      <w:r>
        <w:t xml:space="preserve"> Planes y programas anuales y plurianuales con objetivos concretos, actividades, medios y tiempo previsto para su consecución, y su grado de cumplimiento y resultados mediante indicadores.</w:t>
      </w:r>
    </w:p>
    <w:p>
      <w:pPr>
        <w:spacing w:after="120"/>
        <w:jc w:val="both"/>
      </w:pPr>
      <w:r>
        <w:rPr>
          <w:b/>
          <w:bCs/>
        </w:rPr>
        <w:t xml:space="preserve">4. Información de relevancia jurídica (art. 13).</w:t>
      </w:r>
      <w:r>
        <w:t xml:space="preserve"> Directrices, instrucciones, acuerdos, circulares o respuestas a consultas que supongan interpretación del Derecho; anteproyectos de ley y proyectos de reglamento; memorias e informes que conformen los expedientes de elaboración de textos normativos, especialmente la memoria de análisis de impacto normativo; documentos sometidos a un periodo de información pública.</w:t>
      </w:r>
    </w:p>
    <w:p>
      <w:pPr>
        <w:spacing w:after="120"/>
        <w:jc w:val="both"/>
      </w:pPr>
      <w:r>
        <w:rPr>
          <w:b/>
          <w:bCs/>
        </w:rPr>
        <w:t xml:space="preserve">5. Información sobre procedimientos, cartas de servicios y participación ciudadana (art. 14).</w:t>
      </w:r>
      <w:r>
        <w:t xml:space="preserve"> Catálogo actualizado de los procedimientos administrativos, con indicación de los trámites, plazos y sentido del silencio administrativo; cartas de servicios; información sobre los procedimientos de participación ciudadana.</w:t>
      </w:r>
    </w:p>
    <w:p>
      <w:pPr>
        <w:spacing w:after="120"/>
        <w:jc w:val="both"/>
      </w:pPr>
      <w:r>
        <w:rPr>
          <w:b/>
          <w:bCs/>
        </w:rPr>
        <w:t xml:space="preserve">6. Información sobre contratos, convenios y subvenciones (art. 15).</w:t>
      </w:r>
      <w:r>
        <w:t xml:space="preserve"> Todos los contratos formalizados (objeto, duración, importe de licitación y adjudicación, procedimiento, identidad del adjudicatario, modificaciones, prórrogas...); relación de convenios suscritos, con las partes firmantes y su objeto; subvenciones y ayudas públicas concedidas, con indicación de importe, objetivo y beneficiarios.</w:t>
      </w:r>
    </w:p>
    <w:p>
      <w:pPr>
        <w:spacing w:after="120"/>
        <w:jc w:val="both"/>
      </w:pPr>
      <w:r>
        <w:rPr>
          <w:b/>
          <w:bCs/>
        </w:rPr>
        <w:t xml:space="preserve">7. Información económica, financiera y presupuestaria (art. 16).</w:t>
      </w:r>
      <w:r>
        <w:t xml:space="preserve"> Presupuestos, con descripción de las principales partidas y su estado de ejecución; cuentas anuales e informes de auditoría; retribuciones de altos cargos; información sobre la deuda pública; y, muy relevante, el </w:t>
      </w:r>
      <w:r>
        <w:rPr>
          <w:b/>
          <w:bCs/>
        </w:rPr>
        <w:t xml:space="preserve">gasto público en campañas de publicidad institucional</w:t>
      </w:r>
      <w:r>
        <w:t xml:space="preserve">.</w:t>
      </w:r>
    </w:p>
    <w:p>
      <w:pPr>
        <w:spacing w:after="120"/>
        <w:jc w:val="both"/>
      </w:pPr>
      <w:r>
        <w:t xml:space="preserve">⚠️ </w:t>
      </w:r>
      <w:r>
        <w:rPr>
          <w:b/>
          <w:bCs/>
        </w:rPr>
        <w:t xml:space="preserve">MUY PREGUNTADO EN EXAMEN</w:t>
      </w:r>
      <w:r>
        <w:t xml:space="preserve">: distinguir qué información va en cada bloque (por ejemplo, confundir "información institucional" con "información sobre altos cargos", o el contenido de las declaraciones de bienes con la protección de datos de la localización de inmuebles).</w:t>
      </w:r>
    </w:p>
    <w:p>
      <w:pPr>
        <w:pStyle w:val="Heading3"/>
        <w:spacing w:after="100" w:before="200"/>
      </w:pPr>
      <w:r>
        <w:t xml:space="preserve">El Portal de la Junta de Andalucía y otras normas de acceso a la publicidad activa (arts. 17 a 23)</w:t>
      </w:r>
    </w:p>
    <w:p>
      <w:pPr>
        <w:pStyle w:val="ListParagraph"/>
        <w:numPr>
          <w:ilvl w:val="0"/>
          <w:numId w:val="2"/>
        </w:numPr>
        <w:spacing w:after="60"/>
      </w:pPr>
      <w:r>
        <w:rPr>
          <w:b/>
          <w:bCs/>
        </w:rPr>
        <w:t xml:space="preserve">Art. 17 (Ampliación de las obligaciones)</w:t>
      </w:r>
      <w:r>
        <w:t xml:space="preserve">: se permite que reglamentariamente, o las entidades locales mediante ordenanza, </w:t>
      </w:r>
      <w:r>
        <w:rPr>
          <w:b/>
          <w:bCs/>
        </w:rPr>
        <w:t xml:space="preserve">amplíen</w:t>
      </w:r>
      <w:r>
        <w:t xml:space="preserve"> el catálogo de información publicada. La Administración de la Junta debe publicar también la información que sea objeto de solicitudes de acceso frecuentes, para evitar peticiones repetitivas.</w:t>
      </w:r>
    </w:p>
    <w:p>
      <w:pPr>
        <w:pStyle w:val="ListParagraph"/>
        <w:numPr>
          <w:ilvl w:val="0"/>
          <w:numId w:val="2"/>
        </w:numPr>
        <w:spacing w:after="60"/>
      </w:pPr>
      <w:r>
        <w:rPr>
          <w:b/>
          <w:bCs/>
        </w:rPr>
        <w:t xml:space="preserve">Art. 18 (Acceso a la publicidad activa)</w:t>
      </w:r>
      <w:r>
        <w:t xml:space="preserve">: la información se ofrecerá, con carácter general, a través del </w:t>
      </w:r>
      <w:r>
        <w:rPr>
          <w:b/>
          <w:bCs/>
        </w:rPr>
        <w:t xml:space="preserve">Portal de la Junta de Andalucía</w:t>
      </w:r>
      <w:r>
        <w:t xml:space="preserve">, sin perjuicio de que cada entidad pueda disponer de sedes o portales propios, y de la posibilidad de suscribir convenios de colaboración entre Administraciones para facilitar el acceso conjunto.</w:t>
      </w:r>
    </w:p>
    <w:p>
      <w:pPr>
        <w:pStyle w:val="ListParagraph"/>
        <w:numPr>
          <w:ilvl w:val="0"/>
          <w:numId w:val="2"/>
        </w:numPr>
        <w:spacing w:after="60"/>
      </w:pPr>
      <w:r>
        <w:rPr>
          <w:b/>
          <w:bCs/>
        </w:rPr>
        <w:t xml:space="preserve">Art. 19 (Reutilización de la información)</w:t>
      </w:r>
      <w:r>
        <w:t xml:space="preserve">: la información publicada debe ofrecerse en </w:t>
      </w:r>
      <w:r>
        <w:rPr>
          <w:b/>
          <w:bCs/>
        </w:rPr>
        <w:t xml:space="preserve">formatos electrónicos que permitan su redistribución, reutilización y aprovechamiento</w:t>
      </w:r>
      <w:r>
        <w:t xml:space="preserve">, utilizando estándares abiertos, conforme a la normativa sobre reutilización de la información del sector público.</w:t>
      </w:r>
    </w:p>
    <w:p>
      <w:pPr>
        <w:pStyle w:val="ListParagraph"/>
        <w:numPr>
          <w:ilvl w:val="0"/>
          <w:numId w:val="2"/>
        </w:numPr>
        <w:spacing w:after="60"/>
      </w:pPr>
      <w:r>
        <w:rPr>
          <w:b/>
          <w:bCs/>
        </w:rPr>
        <w:t xml:space="preserve">Art. 20 (Auxilio institucional)</w:t>
      </w:r>
      <w:r>
        <w:t xml:space="preserve">: los municipios de menor población o con insuficiente capacidad de gestión pueden cumplir sus obligaciones de publicidad activa mediante la </w:t>
      </w:r>
      <w:r>
        <w:rPr>
          <w:b/>
          <w:bCs/>
        </w:rPr>
        <w:t xml:space="preserve">asistencia técnica de la Diputación Provincial</w:t>
      </w:r>
      <w:r>
        <w:t xml:space="preserve"> correspondiente, o utilizando plataformas comunes.</w:t>
      </w:r>
    </w:p>
    <w:p>
      <w:pPr>
        <w:pStyle w:val="ListParagraph"/>
        <w:numPr>
          <w:ilvl w:val="0"/>
          <w:numId w:val="2"/>
        </w:numPr>
        <w:spacing w:after="60"/>
      </w:pPr>
      <w:r>
        <w:rPr>
          <w:b/>
          <w:bCs/>
        </w:rPr>
        <w:t xml:space="preserve">Art. 21 (Publicidad de los plenos de las entidades locales)</w:t>
      </w:r>
      <w:r>
        <w:t xml:space="preserve">: las entidades locales facilitarán el acceso a las sesiones de sus </w:t>
      </w:r>
      <w:r>
        <w:rPr>
          <w:b/>
          <w:bCs/>
        </w:rPr>
        <w:t xml:space="preserve">plenos</w:t>
      </w:r>
      <w:r>
        <w:t xml:space="preserve"> a través de internet (retransmisión o archivo audiovisual), salvo que existan dificultades técnicas o económicas que lo impidan justificadamente.</w:t>
      </w:r>
    </w:p>
    <w:p>
      <w:pPr>
        <w:pStyle w:val="ListParagraph"/>
        <w:numPr>
          <w:ilvl w:val="0"/>
          <w:numId w:val="2"/>
        </w:numPr>
        <w:spacing w:after="60"/>
      </w:pPr>
      <w:r>
        <w:rPr>
          <w:b/>
          <w:bCs/>
        </w:rPr>
        <w:t xml:space="preserve">Art. 22 (Transparencia del funcionamiento de los gobiernos)</w:t>
      </w:r>
      <w:r>
        <w:t xml:space="preserve">: el Consejo de Gobierno y los órganos colegiados de gobierno de las entidades locales harán público, con carácter previo a sus reuniones, el </w:t>
      </w:r>
      <w:r>
        <w:rPr>
          <w:b/>
          <w:bCs/>
        </w:rPr>
        <w:t xml:space="preserve">orden del día previsto</w:t>
      </w:r>
      <w:r>
        <w:t xml:space="preserve"> y, tras su celebración, los </w:t>
      </w:r>
      <w:r>
        <w:rPr>
          <w:b/>
          <w:bCs/>
        </w:rPr>
        <w:t xml:space="preserve">acuerdos adoptados</w:t>
      </w:r>
      <w:r>
        <w:t xml:space="preserve">.</w:t>
      </w:r>
    </w:p>
    <w:p>
      <w:pPr>
        <w:pStyle w:val="ListParagraph"/>
        <w:numPr>
          <w:ilvl w:val="0"/>
          <w:numId w:val="2"/>
        </w:numPr>
        <w:spacing w:after="60"/>
      </w:pPr>
      <w:r>
        <w:rPr>
          <w:b/>
          <w:bCs/>
        </w:rPr>
        <w:t xml:space="preserve">Art. 23 (Control)</w:t>
      </w:r>
      <w:r>
        <w:t xml:space="preserve">: corresponde al </w:t>
      </w:r>
      <w:r>
        <w:rPr>
          <w:b/>
          <w:bCs/>
        </w:rPr>
        <w:t xml:space="preserve">Consejo de Transparencia y Protección de Datos de Andalucía</w:t>
      </w:r>
      <w:r>
        <w:t xml:space="preserve"> velar por el cumplimiento de las obligaciones de publicidad activa, pudiendo dirigir requerimientos de subsanación, de oficio o a instancia de parte (denuncia ciudadana).</w:t>
      </w:r>
    </w:p>
    <w:p>
      <w:pPr>
        <w:spacing w:after="120"/>
        <w:jc w:val="both"/>
      </w:pPr>
      <w:r>
        <w:t xml:space="preserve">⚠️ </w:t>
      </w:r>
      <w:r>
        <w:rPr>
          <w:b/>
          <w:bCs/>
        </w:rPr>
        <w:t xml:space="preserve">MUY PREGUNTADO EN EXAMEN</w:t>
      </w:r>
      <w:r>
        <w:t xml:space="preserve">: el nombre completo del órgano de control (</w:t>
      </w:r>
      <w:r>
        <w:rPr>
          <w:b/>
          <w:bCs/>
        </w:rPr>
        <w:t xml:space="preserve">Consejo de Transparencia y Protección de Datos de Andalucía</w:t>
      </w:r>
      <w:r>
        <w:t xml:space="preserve">) y el nombre de la plataforma de publicación (</w:t>
      </w:r>
      <w:r>
        <w:rPr>
          <w:b/>
          <w:bCs/>
        </w:rPr>
        <w:t xml:space="preserve">Portal de la Junta de Andalucía</w:t>
      </w:r>
      <w:r>
        <w:t xml:space="preserve">).</w:t>
      </w:r>
    </w:p>
    <w:p>
      <w:pPr>
        <w:pBdr>
          <w:bottom w:val="single" w:color="AAAAAA" w:sz="6" w:space="1"/>
        </w:pBdr>
        <w:spacing w:after="200"/>
      </w:pPr>
    </w:p>
    <w:p>
      <w:pPr>
        <w:pStyle w:val="Heading2"/>
        <w:spacing w:after="120" w:before="260"/>
      </w:pPr>
      <w:r>
        <w:t xml:space="preserve">TÍTULO III. EL DERECHO DE ACCESO A LA INFORMACIÓN PÚBLICA – NORMAS GENERALES (arts. 24 a 34)</w:t>
      </w:r>
    </w:p>
    <w:p>
      <w:pPr>
        <w:pStyle w:val="Heading3"/>
        <w:spacing w:after="100" w:before="200"/>
      </w:pPr>
      <w:r>
        <w:t xml:space="preserve">Concepto y titularidad del derecho (art. 24)</w:t>
      </w:r>
    </w:p>
    <w:p>
      <w:pPr>
        <w:spacing w:after="120"/>
        <w:jc w:val="both"/>
      </w:pPr>
      <w:r>
        <w:t xml:space="preserve">El </w:t>
      </w:r>
      <w:r>
        <w:rPr>
          <w:b/>
          <w:bCs/>
        </w:rPr>
        <w:t xml:space="preserve">artículo 24</w:t>
      </w:r>
      <w:r>
        <w:t xml:space="preserve"> consagra el derecho: </w:t>
      </w:r>
      <w:r>
        <w:rPr>
          <w:b/>
          <w:bCs/>
        </w:rPr>
        <w:t xml:space="preserve">"Todas las personas tienen derecho a acceder a la información pública veraz"</w:t>
      </w:r>
      <w:r>
        <w:t xml:space="preserve">, en los términos previstos en el artículo 105.b) de la Constitución Española (el precepto constitucional que reconoce el acceso a los archivos y registros administrativos) y de acuerdo con la legislación básica estatal (Ley 19/2013) y esta ley andaluza.</w:t>
      </w:r>
    </w:p>
    <w:p>
      <w:pPr>
        <w:spacing w:after="120"/>
        <w:jc w:val="both"/>
      </w:pPr>
      <w:r>
        <w:t xml:space="preserve">Puntos clave a retener sobre la titularidad:</w:t>
      </w:r>
    </w:p>
    <w:p>
      <w:pPr>
        <w:pStyle w:val="ListParagraph"/>
        <w:numPr>
          <w:ilvl w:val="0"/>
          <w:numId w:val="2"/>
        </w:numPr>
        <w:spacing w:after="60"/>
      </w:pPr>
      <w:r>
        <w:t xml:space="preserve">El derecho corresponde a </w:t>
      </w:r>
      <w:r>
        <w:rPr>
          <w:b/>
          <w:bCs/>
        </w:rPr>
        <w:t xml:space="preserve">"todas las personas"</w:t>
      </w:r>
      <w:r>
        <w:t xml:space="preserve">: no se exige ser mayor de edad, tener nacionalidad española, ni acreditar un interés legítimo o directo. Es un derecho de titularidad </w:t>
      </w:r>
      <w:r>
        <w:rPr>
          <w:b/>
          <w:bCs/>
        </w:rPr>
        <w:t xml:space="preserve">universal</w:t>
      </w:r>
      <w:r>
        <w:t xml:space="preserve">, tanto de personas físicas como jurídicas.</w:t>
      </w:r>
    </w:p>
    <w:p>
      <w:pPr>
        <w:pStyle w:val="ListParagraph"/>
        <w:numPr>
          <w:ilvl w:val="0"/>
          <w:numId w:val="2"/>
        </w:numPr>
        <w:spacing w:after="60"/>
      </w:pPr>
      <w:r>
        <w:rPr>
          <w:b/>
          <w:bCs/>
        </w:rPr>
        <w:t xml:space="preserve">No es necesario motivar la solicitud</w:t>
      </w:r>
      <w:r>
        <w:t xml:space="preserve"> (basta con identificar de forma suficientemente precisa la información solicitada).</w:t>
      </w:r>
    </w:p>
    <w:p>
      <w:pPr>
        <w:pStyle w:val="ListParagraph"/>
        <w:numPr>
          <w:ilvl w:val="0"/>
          <w:numId w:val="2"/>
        </w:numPr>
        <w:spacing w:after="60"/>
      </w:pPr>
      <w:r>
        <w:t xml:space="preserve">No obstante, sí puede tenerse en cuenta la motivación cuando se aplique alguno de los límites del derecho, para ponderar el interés público o privado que justifica el acceso.</w:t>
      </w:r>
    </w:p>
    <w:p>
      <w:pPr>
        <w:spacing w:after="120"/>
        <w:jc w:val="both"/>
      </w:pPr>
      <w:r>
        <w:t xml:space="preserve">⚠️ </w:t>
      </w:r>
      <w:r>
        <w:rPr>
          <w:b/>
          <w:bCs/>
        </w:rPr>
        <w:t xml:space="preserve">MUY PREGUNTADO EN EXAMEN</w:t>
      </w:r>
      <w:r>
        <w:t xml:space="preserve">: que el derecho de acceso es de titularidad </w:t>
      </w:r>
      <w:r>
        <w:rPr>
          <w:b/>
          <w:bCs/>
        </w:rPr>
        <w:t xml:space="preserve">universal y no requiere motivación</w:t>
      </w:r>
      <w:r>
        <w:t xml:space="preserve">, a diferencia de otras figuras del procedimiento administrativo común que sí exigen acreditar un interés legítimo.</w:t>
      </w:r>
    </w:p>
    <w:p>
      <w:pPr>
        <w:pStyle w:val="Heading3"/>
        <w:spacing w:after="100" w:before="200"/>
      </w:pPr>
      <w:r>
        <w:t xml:space="preserve">Límites al derecho de acceso (art. 25)</w:t>
      </w:r>
    </w:p>
    <w:p>
      <w:pPr>
        <w:spacing w:after="120"/>
        <w:jc w:val="both"/>
      </w:pPr>
      <w:r>
        <w:t xml:space="preserve">El </w:t>
      </w:r>
      <w:r>
        <w:rPr>
          <w:b/>
          <w:bCs/>
        </w:rPr>
        <w:t xml:space="preserve">artículo 25</w:t>
      </w:r>
      <w:r>
        <w:t xml:space="preserve"> establece que el derecho de acceso </w:t>
      </w:r>
      <w:r>
        <w:rPr>
          <w:b/>
          <w:bCs/>
        </w:rPr>
        <w:t xml:space="preserve">solo puede ser restringido o denegado en los términos previstos en la legislación básica</w:t>
      </w:r>
      <w:r>
        <w:t xml:space="preserve"> (es decir, remite a los límites tasados de la Ley 19/2013: seguridad nacional, defensa, relaciones exteriores, seguridad pública, prevención/investigación/sanción de infracciones penales y administrativas, igualdad de las partes en procesos judiciales, funciones administrativas de vigilancia/inspección/control, intereses económicos y comerciales, política económica y monetaria, secreto profesional y propiedad intelectual e industrial, garantía de confidencialidad en toma de decisiones, y protección del medio ambiente).</w:t>
      </w:r>
    </w:p>
    <w:p>
      <w:pPr>
        <w:spacing w:after="120"/>
        <w:jc w:val="both"/>
      </w:pPr>
      <w:r>
        <w:t xml:space="preserve">Aspectos que añade o precisa la ley andaluza:</w:t>
      </w:r>
    </w:p>
    <w:p>
      <w:pPr>
        <w:pStyle w:val="ListParagraph"/>
        <w:numPr>
          <w:ilvl w:val="0"/>
          <w:numId w:val="2"/>
        </w:numPr>
        <w:spacing w:after="60"/>
      </w:pPr>
      <w:r>
        <w:t xml:space="preserve">Las limitaciones se aplicarán </w:t>
      </w:r>
      <w:r>
        <w:rPr>
          <w:b/>
          <w:bCs/>
        </w:rPr>
        <w:t xml:space="preserve">de forma justificada y proporcionada</w:t>
      </w:r>
      <w:r>
        <w:t xml:space="preserve">, atendiendo a las circunstancias del caso concreto, especialmente a la concurrencia de un </w:t>
      </w:r>
      <w:r>
        <w:rPr>
          <w:b/>
          <w:bCs/>
        </w:rPr>
        <w:t xml:space="preserve">interés público o privado superior</w:t>
      </w:r>
      <w:r>
        <w:t xml:space="preserve"> que justifique el acceso.</w:t>
      </w:r>
    </w:p>
    <w:p>
      <w:pPr>
        <w:pStyle w:val="ListParagraph"/>
        <w:numPr>
          <w:ilvl w:val="0"/>
          <w:numId w:val="2"/>
        </w:numPr>
        <w:spacing w:after="60"/>
      </w:pPr>
      <w:r>
        <w:t xml:space="preserve">Los límites tienen carácter </w:t>
      </w:r>
      <w:r>
        <w:rPr>
          <w:b/>
          <w:bCs/>
        </w:rPr>
        <w:t xml:space="preserve">temporal</w:t>
      </w:r>
      <w:r>
        <w:t xml:space="preserve">: se aplicarán mientras se mantenga la razón que motivó la protección de la información.</w:t>
      </w:r>
    </w:p>
    <w:p>
      <w:pPr>
        <w:pStyle w:val="ListParagraph"/>
        <w:numPr>
          <w:ilvl w:val="0"/>
          <w:numId w:val="2"/>
        </w:numPr>
        <w:spacing w:after="60"/>
      </w:pPr>
      <w:r>
        <w:t xml:space="preserve">Las </w:t>
      </w:r>
      <w:r>
        <w:rPr>
          <w:b/>
          <w:bCs/>
        </w:rPr>
        <w:t xml:space="preserve">resoluciones que denieguen o restrinjan el acceso</w:t>
      </w:r>
      <w:r>
        <w:t xml:space="preserve"> por aplicación de estos límites se harán públicas, previa disociación de los datos de carácter personal que contuvieran, para conocimiento general de los criterios aplicados.</w:t>
      </w:r>
    </w:p>
    <w:p>
      <w:pPr>
        <w:pStyle w:val="Heading3"/>
        <w:spacing w:after="100" w:before="200"/>
      </w:pPr>
      <w:r>
        <w:t xml:space="preserve">Protección de datos personales (art. 26)</w:t>
      </w:r>
    </w:p>
    <w:p>
      <w:pPr>
        <w:spacing w:after="120"/>
        <w:jc w:val="both"/>
      </w:pPr>
      <w:r>
        <w:t xml:space="preserve">El </w:t>
      </w:r>
      <w:r>
        <w:rPr>
          <w:b/>
          <w:bCs/>
        </w:rPr>
        <w:t xml:space="preserve">artículo 26</w:t>
      </w:r>
      <w:r>
        <w:t xml:space="preserve"> remite, cuando la información solicitada contenga datos personales, a lo dispuesto en la legislación básica de transparencia (art. 15 de la Ley 19/2013) y en la normativa de protección de datos personales. Debe ponderarse el interés público en la divulgación y los derechos de los afectados, distinguiendo entre datos meramente identificativos, datos especialmente protegidos y otras categorías de datos.</w:t>
      </w:r>
    </w:p>
    <w:p>
      <w:pPr>
        <w:pStyle w:val="Heading3"/>
        <w:spacing w:after="100" w:before="200"/>
      </w:pPr>
      <w:r>
        <w:t xml:space="preserve">Acceso parcial (art. 27)</w:t>
      </w:r>
    </w:p>
    <w:p>
      <w:pPr>
        <w:spacing w:after="120"/>
        <w:jc w:val="both"/>
      </w:pPr>
      <w:r>
        <w:t xml:space="preserve">Cuando la aplicación de alguno de los límites afecte solo a </w:t>
      </w:r>
      <w:r>
        <w:rPr>
          <w:b/>
          <w:bCs/>
        </w:rPr>
        <w:t xml:space="preserve">parte</w:t>
      </w:r>
      <w:r>
        <w:t xml:space="preserve"> de la información solicitada, deberá concederse el </w:t>
      </w:r>
      <w:r>
        <w:rPr>
          <w:b/>
          <w:bCs/>
        </w:rPr>
        <w:t xml:space="preserve">acceso parcial</w:t>
      </w:r>
      <w:r>
        <w:t xml:space="preserve">, omitiendo o disociando la parte afectada por el límite, siempre que sea posible sin desnaturalizar el sentido de la información. Es decir: no puede denegarse todo el documento si basta con tachar o eliminar la parte reservada.</w:t>
      </w:r>
    </w:p>
    <w:p>
      <w:pPr>
        <w:pStyle w:val="Heading3"/>
        <w:spacing w:after="100" w:before="200"/>
      </w:pPr>
      <w:r>
        <w:t xml:space="preserve">Procedimiento de acceso (arts. 28 a 31)</w:t>
      </w:r>
    </w:p>
    <w:p>
      <w:pPr>
        <w:spacing w:after="120"/>
        <w:jc w:val="both"/>
      </w:pPr>
      <w:r>
        <w:rPr>
          <w:b/>
          <w:bCs/>
        </w:rPr>
        <w:t xml:space="preserve">Art. 28 (Procedimiento de acceso)</w:t>
      </w:r>
      <w:r>
        <w:t xml:space="preserve">: se rige por la legislación básica de transparencia y, en lo no previsto por esta, por la LTPA. Resuelve el órgano competente en razón de la materia sobre la que verse la información. Cuando el solicitante conozca el archivo o unidad concreta donde se ubica la información, puede dirigirse directamente a ella.</w:t>
      </w:r>
    </w:p>
    <w:p>
      <w:pPr>
        <w:spacing w:after="120"/>
        <w:jc w:val="both"/>
      </w:pPr>
      <w:r>
        <w:rPr>
          <w:b/>
          <w:bCs/>
        </w:rPr>
        <w:t xml:space="preserve">Art. 29 (Fomento de la tramitación electrónica)</w:t>
      </w:r>
      <w:r>
        <w:t xml:space="preserve">: las entidades promoverán la presentación de solicitudes por medios electrónicos, poniendo a disposición </w:t>
      </w:r>
      <w:r>
        <w:rPr>
          <w:b/>
          <w:bCs/>
        </w:rPr>
        <w:t xml:space="preserve">modelos normalizados</w:t>
      </w:r>
      <w:r>
        <w:t xml:space="preserve">. En el ámbito de la Junta de Andalucía, la presentación se realizará preferentemente a través del </w:t>
      </w:r>
      <w:r>
        <w:rPr>
          <w:b/>
          <w:bCs/>
        </w:rPr>
        <w:t xml:space="preserve">Portal de la Junta de Andalucía</w:t>
      </w:r>
      <w:r>
        <w:t xml:space="preserve">.</w:t>
      </w:r>
    </w:p>
    <w:p>
      <w:pPr>
        <w:spacing w:after="120"/>
        <w:jc w:val="both"/>
      </w:pPr>
      <w:r>
        <w:rPr>
          <w:b/>
          <w:bCs/>
        </w:rPr>
        <w:t xml:space="preserve">Art. 30 (Reglas especiales relativas a las causas de inadmisión)</w:t>
      </w:r>
      <w:r>
        <w:t xml:space="preserve">: matiza dos de las causas de inadmisión que prevé la Ley 19/2013:</w:t>
      </w:r>
    </w:p>
    <w:p>
      <w:pPr>
        <w:pStyle w:val="ListParagraph"/>
        <w:numPr>
          <w:ilvl w:val="0"/>
          <w:numId w:val="2"/>
        </w:numPr>
        <w:spacing w:after="60"/>
      </w:pPr>
      <w:r>
        <w:t xml:space="preserve">Cuando se inadmita por tratarse de </w:t>
      </w:r>
      <w:r>
        <w:rPr>
          <w:b/>
          <w:bCs/>
        </w:rPr>
        <w:t xml:space="preserve">información en curso de elaboración</w:t>
      </w:r>
      <w:r>
        <w:t xml:space="preserve">, la resolución debe especificar el </w:t>
      </w:r>
      <w:r>
        <w:rPr>
          <w:b/>
          <w:bCs/>
        </w:rPr>
        <w:t xml:space="preserve">órgano que la está elaborando</w:t>
      </w:r>
      <w:r>
        <w:t xml:space="preserve"> y el </w:t>
      </w:r>
      <w:r>
        <w:rPr>
          <w:b/>
          <w:bCs/>
        </w:rPr>
        <w:t xml:space="preserve">plazo previsto para su conclusión</w:t>
      </w:r>
      <w:r>
        <w:t xml:space="preserve">.</w:t>
      </w:r>
    </w:p>
    <w:p>
      <w:pPr>
        <w:pStyle w:val="ListParagraph"/>
        <w:numPr>
          <w:ilvl w:val="0"/>
          <w:numId w:val="2"/>
        </w:numPr>
        <w:spacing w:after="60"/>
      </w:pPr>
      <w:r>
        <w:t xml:space="preserve">La necesidad de recabar un </w:t>
      </w:r>
      <w:r>
        <w:rPr>
          <w:b/>
          <w:bCs/>
        </w:rPr>
        <w:t xml:space="preserve">informe preceptivo previo no justifica por sí sola</w:t>
      </w:r>
      <w:r>
        <w:t xml:space="preserve"> la inadmisión de la solicitud.</w:t>
      </w:r>
    </w:p>
    <w:p>
      <w:pPr>
        <w:pStyle w:val="ListParagraph"/>
        <w:numPr>
          <w:ilvl w:val="0"/>
          <w:numId w:val="2"/>
        </w:numPr>
        <w:spacing w:after="60"/>
      </w:pPr>
      <w:r>
        <w:t xml:space="preserve">No se considera </w:t>
      </w:r>
      <w:r>
        <w:rPr>
          <w:b/>
          <w:bCs/>
        </w:rPr>
        <w:t xml:space="preserve">"reelaboración"</w:t>
      </w:r>
      <w:r>
        <w:t xml:space="preserve"> (causa de inadmisión de la ley estatal cuando la información requiere una acción de reelaboración) el mero tratamiento informático de datos que sea de uso corriente o habitual conforme a las aplicaciones que la entidad utilice ordinariamente.</w:t>
      </w:r>
    </w:p>
    <w:p>
      <w:pPr>
        <w:spacing w:after="120"/>
        <w:jc w:val="both"/>
      </w:pPr>
      <w:r>
        <w:t xml:space="preserve">⚠️ </w:t>
      </w:r>
      <w:r>
        <w:rPr>
          <w:b/>
          <w:bCs/>
        </w:rPr>
        <w:t xml:space="preserve">MUY PREGUNTADO EN EXAMEN</w:t>
      </w:r>
      <w:r>
        <w:t xml:space="preserve">: este artículo 30 es un contenido "de ampliación" típico de exámenes de nivel medio-alto, porque </w:t>
      </w:r>
      <w:r>
        <w:rPr>
          <w:b/>
          <w:bCs/>
        </w:rPr>
        <w:t xml:space="preserve">restringe</w:t>
      </w:r>
      <w:r>
        <w:t xml:space="preserve"> (a favor del ciudadano) el uso de las causas de inadmisión de "información en curso de elaboración" y "necesidad de reelaboración", que en la ley estatal son más amplias.</w:t>
      </w:r>
    </w:p>
    <w:p>
      <w:pPr>
        <w:spacing w:after="120"/>
        <w:jc w:val="both"/>
      </w:pPr>
      <w:r>
        <w:rPr>
          <w:b/>
          <w:bCs/>
        </w:rPr>
        <w:t xml:space="preserve">Art. 31 (Deber de auxilio y colaboración)</w:t>
      </w:r>
      <w:r>
        <w:t xml:space="preserve">: las entidades deben orientar a la ciudadanía sobre dónde localizar la información y qué órgano es competente si la solicitud se dirige a un órgano equivocado; el personal está obligado a facilitar información sobre la forma y el lugar de presentación de solicitudes. Se presta especial atención a garantizar el acceso a personas con discapacidad.</w:t>
      </w:r>
    </w:p>
    <w:p>
      <w:pPr>
        <w:pStyle w:val="Heading3"/>
        <w:spacing w:after="100" w:before="200"/>
      </w:pPr>
      <w:r>
        <w:t xml:space="preserve">Plazo de resolución y notificación (art. 32)</w:t>
      </w:r>
    </w:p>
    <w:p>
      <w:pPr>
        <w:spacing w:after="120"/>
        <w:jc w:val="both"/>
      </w:pPr>
      <w:r>
        <w:t xml:space="preserve">Este es uno de los artículos </w:t>
      </w:r>
      <w:r>
        <w:rPr>
          <w:b/>
          <w:bCs/>
        </w:rPr>
        <w:t xml:space="preserve">más preguntados de todo el tema</w:t>
      </w:r>
      <w:r>
        <w:t xml:space="preserve">:</w:t>
      </w:r>
    </w:p>
    <w:p>
      <w:pPr>
        <w:spacing w:after="120"/>
        <w:jc w:val="both"/>
      </w:pPr>
      <w:r>
        <w:t xml:space="preserve">&gt; "El plazo máximo para dictar y notificar la resolución será de </w:t>
      </w:r>
      <w:r>
        <w:rPr>
          <w:b/>
          <w:bCs/>
        </w:rPr>
        <w:t xml:space="preserve">veinte días hábiles</w:t>
      </w:r>
      <w:r>
        <w:t xml:space="preserve"> desde la recepción de la solicitud por el órgano competente para resolver."</w:t>
      </w:r>
    </w:p>
    <w:p>
      <w:pPr>
        <w:spacing w:after="120"/>
        <w:jc w:val="both"/>
      </w:pPr>
      <w:r>
        <w:t xml:space="preserve">Este plazo puede </w:t>
      </w:r>
      <w:r>
        <w:rPr>
          <w:b/>
          <w:bCs/>
        </w:rPr>
        <w:t xml:space="preserve">ampliarse por otro periodo igual</w:t>
      </w:r>
      <w:r>
        <w:t xml:space="preserve"> (es decir, otros 20 días hábiles) cuando el </w:t>
      </w:r>
      <w:r>
        <w:rPr>
          <w:b/>
          <w:bCs/>
        </w:rPr>
        <w:t xml:space="preserve">volumen o la complejidad</w:t>
      </w:r>
      <w:r>
        <w:t xml:space="preserve"> de la información solicitada así lo requiera, debiendo comunicarse esta ampliación al solicitante.</w:t>
      </w:r>
    </w:p>
    <w:p>
      <w:pPr>
        <w:spacing w:after="120"/>
        <w:jc w:val="both"/>
      </w:pPr>
      <w:r>
        <w:t xml:space="preserve">⚠️ </w:t>
      </w:r>
      <w:r>
        <w:rPr>
          <w:b/>
          <w:bCs/>
        </w:rPr>
        <w:t xml:space="preserve">MUY PREGUNTADO EN EXAMEN</w:t>
      </w:r>
      <w:r>
        <w:t xml:space="preserve">:</w:t>
      </w:r>
    </w:p>
    <w:p>
      <w:pPr>
        <w:pStyle w:val="ListParagraph"/>
        <w:numPr>
          <w:ilvl w:val="0"/>
          <w:numId w:val="2"/>
        </w:numPr>
        <w:spacing w:after="60"/>
      </w:pPr>
      <w:r>
        <w:t xml:space="preserve">El plazo es de </w:t>
      </w:r>
      <w:r>
        <w:rPr>
          <w:b/>
          <w:bCs/>
        </w:rPr>
        <w:t xml:space="preserve">20 días hábiles</w:t>
      </w:r>
      <w:r>
        <w:t xml:space="preserve"> (no naturales), y se cuenta desde la recepción de la solicitud por el órgano competente para resolver.</w:t>
      </w:r>
    </w:p>
    <w:p>
      <w:pPr>
        <w:pStyle w:val="ListParagraph"/>
        <w:numPr>
          <w:ilvl w:val="0"/>
          <w:numId w:val="2"/>
        </w:numPr>
        <w:spacing w:after="60"/>
      </w:pPr>
      <w:r>
        <w:t xml:space="preserve">Puede </w:t>
      </w:r>
      <w:r>
        <w:rPr>
          <w:b/>
          <w:bCs/>
        </w:rPr>
        <w:t xml:space="preserve">prorrogarse otros 20 días hábiles</w:t>
      </w:r>
      <w:r>
        <w:t xml:space="preserve"> más si concurre volumen o complejidad de la información.</w:t>
      </w:r>
    </w:p>
    <w:p>
      <w:pPr>
        <w:pStyle w:val="ListParagraph"/>
        <w:numPr>
          <w:ilvl w:val="0"/>
          <w:numId w:val="2"/>
        </w:numPr>
        <w:spacing w:after="60"/>
      </w:pPr>
      <w:r>
        <w:t xml:space="preserve">No confundir con el plazo de la ley estatal (Ley 19/2013), que es de </w:t>
      </w:r>
      <w:r>
        <w:rPr>
          <w:b/>
          <w:bCs/>
        </w:rPr>
        <w:t xml:space="preserve">1 mes</w:t>
      </w:r>
      <w:r>
        <w:t xml:space="preserve">, prorrogable por otro mes: </w:t>
      </w:r>
      <w:r>
        <w:rPr>
          <w:b/>
          <w:bCs/>
        </w:rPr>
        <w:t xml:space="preserve">la ley andaluza mejora el plazo estatal</w:t>
      </w:r>
      <w:r>
        <w:t xml:space="preserve">, acortándolo a 20 días hábiles.</w:t>
      </w:r>
    </w:p>
    <w:p>
      <w:pPr>
        <w:pStyle w:val="ListParagraph"/>
        <w:numPr>
          <w:ilvl w:val="0"/>
          <w:numId w:val="2"/>
        </w:numPr>
        <w:spacing w:after="60"/>
      </w:pPr>
      <w:r>
        <w:t xml:space="preserve">El silencio administrativo, salvo que una norma establezca lo contrario, se entiende </w:t>
      </w:r>
      <w:r>
        <w:rPr>
          <w:b/>
          <w:bCs/>
        </w:rPr>
        <w:t xml:space="preserve">desestimatorio</w:t>
      </w:r>
      <w:r>
        <w:t xml:space="preserve"> (transcurrido el plazo máximo sin resolución expresa, se entiende que la solicitud ha sido denegada), conforme a la legislación básica.</w:t>
      </w:r>
    </w:p>
    <w:p>
      <w:pPr>
        <w:pStyle w:val="Heading3"/>
        <w:spacing w:after="100" w:before="200"/>
      </w:pPr>
      <w:r>
        <w:t xml:space="preserve">Reclamaciones (art. 33)</w:t>
      </w:r>
    </w:p>
    <w:p>
      <w:pPr>
        <w:spacing w:after="120"/>
        <w:jc w:val="both"/>
      </w:pPr>
      <w:r>
        <w:t xml:space="preserve">Frente a toda resolución expresa o presunta en materia de acceso a la información, cabe interponer, con carácter </w:t>
      </w:r>
      <w:r>
        <w:rPr>
          <w:b/>
          <w:bCs/>
        </w:rPr>
        <w:t xml:space="preserve">potestativo y previo</w:t>
      </w:r>
      <w:r>
        <w:t xml:space="preserve"> a la impugnación en vía contencioso-administrativa, una </w:t>
      </w:r>
      <w:r>
        <w:rPr>
          <w:b/>
          <w:bCs/>
        </w:rPr>
        <w:t xml:space="preserve">reclamación ante el Consejo de Transparencia y Protección de Datos de Andalucía</w:t>
      </w:r>
      <w:r>
        <w:t xml:space="preserve">. Las resoluciones de este Consejo se harán públicas, previa disociación de los datos personales, una vez hayan sido notificadas a los interesados.</w:t>
      </w:r>
    </w:p>
    <w:p>
      <w:pPr>
        <w:spacing w:after="120"/>
        <w:jc w:val="both"/>
      </w:pPr>
      <w:r>
        <w:t xml:space="preserve">⚠️ </w:t>
      </w:r>
      <w:r>
        <w:rPr>
          <w:b/>
          <w:bCs/>
        </w:rPr>
        <w:t xml:space="preserve">MUY PREGUNTADO EN EXAMEN</w:t>
      </w:r>
      <w:r>
        <w:t xml:space="preserve">: la reclamación ante el Consejo de Transparencia es </w:t>
      </w:r>
      <w:r>
        <w:rPr>
          <w:b/>
          <w:bCs/>
        </w:rPr>
        <w:t xml:space="preserve">potestativa</w:t>
      </w:r>
      <w:r>
        <w:t xml:space="preserve"> (no obligatoria) y sustituye a los recursos administrativos ordinarios; es alternativa y previa a la vía contencioso-administrativa.</w:t>
      </w:r>
    </w:p>
    <w:p>
      <w:pPr>
        <w:pStyle w:val="Heading3"/>
        <w:spacing w:after="100" w:before="200"/>
      </w:pPr>
      <w:r>
        <w:t xml:space="preserve">Materialización del acceso (art. 34)</w:t>
      </w:r>
    </w:p>
    <w:p>
      <w:pPr>
        <w:spacing w:after="120"/>
        <w:jc w:val="both"/>
      </w:pPr>
      <w:r>
        <w:t xml:space="preserve">El acceso a la información se realizará preferentemente por vía electrónica, salvo que no sea posible o el solicitante señale expresamente otro medio. Si la información ya ha sido publicada, la resolución podrá limitarse a </w:t>
      </w:r>
      <w:r>
        <w:rPr>
          <w:b/>
          <w:bCs/>
        </w:rPr>
        <w:t xml:space="preserve">indicar al solicitante cómo puede acceder a ella</w:t>
      </w:r>
      <w:r>
        <w:t xml:space="preserve"> (remisión a la publicidad activa, en lugar de duplicar la entrega).</w:t>
      </w:r>
    </w:p>
    <w:p>
      <w:pPr>
        <w:spacing w:after="120"/>
        <w:jc w:val="both"/>
      </w:pPr>
      <w:r>
        <w:t xml:space="preserve">La información se facilitará en la </w:t>
      </w:r>
      <w:r>
        <w:rPr>
          <w:b/>
          <w:bCs/>
        </w:rPr>
        <w:t xml:space="preserve">forma o formato elegidos por el solicitante</w:t>
      </w:r>
      <w:r>
        <w:t xml:space="preserve">, salvo que:</w:t>
      </w:r>
    </w:p>
    <w:p>
      <w:pPr>
        <w:pStyle w:val="ListParagraph"/>
        <w:numPr>
          <w:ilvl w:val="0"/>
          <w:numId w:val="2"/>
        </w:numPr>
        <w:spacing w:after="60"/>
      </w:pPr>
      <w:r>
        <w:t xml:space="preserve">Ello suponga la destrucción del soporte original.</w:t>
      </w:r>
    </w:p>
    <w:p>
      <w:pPr>
        <w:pStyle w:val="ListParagraph"/>
        <w:numPr>
          <w:ilvl w:val="0"/>
          <w:numId w:val="2"/>
        </w:numPr>
        <w:spacing w:after="60"/>
      </w:pPr>
      <w:r>
        <w:t xml:space="preserve">No exista el equipo técnico necesario para reproducirla en ese formato.</w:t>
      </w:r>
    </w:p>
    <w:p>
      <w:pPr>
        <w:pStyle w:val="ListParagraph"/>
        <w:numPr>
          <w:ilvl w:val="0"/>
          <w:numId w:val="2"/>
        </w:numPr>
        <w:spacing w:after="60"/>
      </w:pPr>
      <w:r>
        <w:t xml:space="preserve">Existan derechos de propiedad intelectual de un tercero.</w:t>
      </w:r>
    </w:p>
    <w:p>
      <w:pPr>
        <w:pStyle w:val="ListParagraph"/>
        <w:numPr>
          <w:ilvl w:val="0"/>
          <w:numId w:val="2"/>
        </w:numPr>
        <w:spacing w:after="60"/>
      </w:pPr>
      <w:r>
        <w:t xml:space="preserve">Sea posible facilitarla en un formato alternativo de fácil comprensión y a un coste proporcionado.</w:t>
      </w:r>
    </w:p>
    <w:p>
      <w:pPr>
        <w:spacing w:after="120"/>
        <w:jc w:val="both"/>
      </w:pPr>
      <w:r>
        <w:t xml:space="preserve">El </w:t>
      </w:r>
      <w:r>
        <w:rPr>
          <w:b/>
          <w:bCs/>
        </w:rPr>
        <w:t xml:space="preserve">examen presencial</w:t>
      </w:r>
      <w:r>
        <w:t xml:space="preserve"> de la información y el envío de la información en </w:t>
      </w:r>
      <w:r>
        <w:rPr>
          <w:b/>
          <w:bCs/>
        </w:rPr>
        <w:t xml:space="preserve">formato electrónico</w:t>
      </w:r>
      <w:r>
        <w:t xml:space="preserve"> son, con carácter general, </w:t>
      </w:r>
      <w:r>
        <w:rPr>
          <w:b/>
          <w:bCs/>
        </w:rPr>
        <w:t xml:space="preserve">gratuitos</w:t>
      </w:r>
      <w:r>
        <w:t xml:space="preserve">. Solo la expedición de copias en soportes distintos al original o la transposición a formatos diferentes puede dar lugar a exacción de una tasa o precio público, que no puede exceder del coste de la operación.</w:t>
      </w:r>
    </w:p>
    <w:p>
      <w:pPr>
        <w:pBdr>
          <w:bottom w:val="single" w:color="AAAAAA" w:sz="6" w:space="1"/>
        </w:pBdr>
        <w:spacing w:after="200"/>
      </w:pPr>
    </w:p>
    <w:p>
      <w:pPr>
        <w:pStyle w:val="Heading2"/>
        <w:spacing w:after="120" w:before="260"/>
      </w:pPr>
      <w:r>
        <w:t xml:space="preserve">Diferencias clave: Publicidad activa vs. Derecho de acceso</w:t>
      </w:r>
    </w:p>
    <w:p>
      <w:pPr>
        <w:spacing w:after="120"/>
        <w:jc w:val="both"/>
      </w:pPr>
      <w:r>
        <w:t xml:space="preserve">Este cuadro conceptual es fundamental porque en el examen suele aparecer una pregunta que pide </w:t>
      </w:r>
      <w:r>
        <w:rPr>
          <w:b/>
          <w:bCs/>
        </w:rPr>
        <w:t xml:space="preserve">distinguir en qué título/mecanismo encaja un supuesto concreto</w:t>
      </w:r>
      <w:r>
        <w:t xml:space="preserve">.</w:t>
      </w:r>
    </w:p>
    <w:p>
      <w:pPr>
        <w:spacing w:after="120"/>
        <w:jc w:val="both"/>
      </w:pPr>
      <w:r>
        <w:t xml:space="preserve">| | </w:t>
      </w:r>
      <w:r>
        <w:rPr>
          <w:b/>
          <w:bCs/>
        </w:rPr>
        <w:t xml:space="preserve">Publicidad activa (Título II)</w:t>
      </w:r>
      <w:r>
        <w:t xml:space="preserve"> | </w:t>
      </w:r>
      <w:r>
        <w:rPr>
          <w:b/>
          <w:bCs/>
        </w:rPr>
        <w:t xml:space="preserve">Derecho de acceso (Título III)</w:t>
      </w:r>
      <w:r>
        <w:t xml:space="preserve"> |</w:t>
      </w:r>
    </w:p>
    <w:p>
      <w:pPr>
        <w:spacing w:after="120"/>
        <w:jc w:val="both"/>
      </w:pPr>
      <w:r>
        <w:t xml:space="preserve">|---|---|---|</w:t>
      </w:r>
    </w:p>
    <w:p>
      <w:pPr>
        <w:spacing w:after="120"/>
        <w:jc w:val="both"/>
      </w:pPr>
      <w:r>
        <w:t xml:space="preserve">| Iniciativa | De oficio, por la propia Administración | A instancia de parte, mediante solicitud |</w:t>
      </w:r>
    </w:p>
    <w:p>
      <w:pPr>
        <w:spacing w:after="120"/>
        <w:jc w:val="both"/>
      </w:pPr>
      <w:r>
        <w:t xml:space="preserve">| Contenido | Información predeterminada por la ley (arts. 10-16) | Cualquier información pública no publicada de oficio, sin más límites que los tasados legalmente |</w:t>
      </w:r>
    </w:p>
    <w:p>
      <w:pPr>
        <w:spacing w:after="120"/>
        <w:jc w:val="both"/>
      </w:pPr>
      <w:r>
        <w:t xml:space="preserve">| Titularidad | Difusión general, dirigida a toda la ciudadanía | Derecho individual, "todas las personas" pueden solicitar |</w:t>
      </w:r>
    </w:p>
    <w:p>
      <w:pPr>
        <w:spacing w:after="120"/>
        <w:jc w:val="both"/>
      </w:pPr>
      <w:r>
        <w:t xml:space="preserve">| Canal | Portal de la Junta de Andalucía / sedes electrónicas | Solicitud (preferentemente electrónica) ante el órgano competente |</w:t>
      </w:r>
    </w:p>
    <w:p>
      <w:pPr>
        <w:spacing w:after="120"/>
        <w:jc w:val="both"/>
      </w:pPr>
      <w:r>
        <w:t xml:space="preserve">| Plazo | Actualización periódica (con carácter general, trimestral) | 20 días hábiles, prorrogables por otros 20 |</w:t>
      </w:r>
    </w:p>
    <w:p>
      <w:pPr>
        <w:spacing w:after="120"/>
        <w:jc w:val="both"/>
      </w:pPr>
      <w:r>
        <w:t xml:space="preserve">| Control | Consejo de Transparencia (requerimientos de subsanación) | Reclamación potestativa ante el Consejo de Transparencia, previa a la vía contencioso-administrativa |</w:t>
      </w:r>
    </w:p>
    <w:p>
      <w:pPr>
        <w:spacing w:after="120"/>
        <w:jc w:val="both"/>
      </w:pPr>
      <w:r>
        <w:t xml:space="preserve">| Coste | Gratuita | Gratuita la consulta y el envío electrónico; puede haber tasa por copias en soporte distinto |</w:t>
      </w:r>
    </w:p>
    <w:p>
      <w:pPr>
        <w:spacing w:after="120"/>
        <w:jc w:val="both"/>
      </w:pPr>
      <w:r>
        <w:rPr>
          <w:b/>
          <w:bCs/>
        </w:rPr>
        <w:t xml:space="preserve">Ejemplo práctico</w:t>
      </w:r>
      <w:r>
        <w:t xml:space="preserve">: el presupuesto anual de la Universidad de Almería y su estado de ejecución debe estar publicado de oficio en el Portal de Transparencia (publicidad activa, art. 16). Pero si un ciudadano quiere conocer el detalle de las facturas de una partida presupuestaria concreta que no está desglosada en el portal, deberá presentar una </w:t>
      </w:r>
      <w:r>
        <w:rPr>
          <w:b/>
          <w:bCs/>
        </w:rPr>
        <w:t xml:space="preserve">solicitud de acceso a la información pública</w:t>
      </w:r>
      <w:r>
        <w:t xml:space="preserve"> (Título III), que se resolverá en el plazo de 20 días hábiles, prorrogable.</w:t>
      </w:r>
    </w:p>
    <w:p>
      <w:pPr>
        <w:pBdr>
          <w:bottom w:val="single" w:color="AAAAAA" w:sz="6" w:space="1"/>
        </w:pBdr>
        <w:spacing w:after="200"/>
      </w:pPr>
    </w:p>
    <w:p>
      <w:pPr>
        <w:pStyle w:val="Heading2"/>
        <w:spacing w:after="120" w:before="260"/>
      </w:pPr>
      <w:r>
        <w:t xml:space="preserve">Resumen esquemático final para repaso rápido</w:t>
      </w:r>
    </w:p>
    <w:p>
      <w:pPr>
        <w:pStyle w:val="ListParagraph"/>
        <w:numPr>
          <w:ilvl w:val="0"/>
          <w:numId w:val="2"/>
        </w:numPr>
        <w:spacing w:after="60"/>
      </w:pPr>
      <w:r>
        <w:rPr>
          <w:b/>
          <w:bCs/>
        </w:rPr>
        <w:t xml:space="preserve">Título I</w:t>
      </w:r>
      <w:r>
        <w:t xml:space="preserve">: define objeto, conceptos, ámbito subjetivo (quién está obligado), principios (11 principios) y derechos/obligaciones de la ciudadanía.</w:t>
      </w:r>
    </w:p>
    <w:p>
      <w:pPr>
        <w:pStyle w:val="ListParagraph"/>
        <w:numPr>
          <w:ilvl w:val="0"/>
          <w:numId w:val="2"/>
        </w:numPr>
        <w:spacing w:after="60"/>
      </w:pPr>
      <w:r>
        <w:rPr>
          <w:b/>
          <w:bCs/>
        </w:rPr>
        <w:t xml:space="preserve">Título II</w:t>
      </w:r>
      <w:r>
        <w:t xml:space="preserve">: obliga a publicar de oficio información institucional, de altos cargos, de planificación, jurídica, de procedimientos, de contratación y económico-financiera, a través del </w:t>
      </w:r>
      <w:r>
        <w:rPr>
          <w:b/>
          <w:bCs/>
        </w:rPr>
        <w:t xml:space="preserve">Portal de la Junta de Andalucía</w:t>
      </w:r>
      <w:r>
        <w:t xml:space="preserve">, con actualización general </w:t>
      </w:r>
      <w:r>
        <w:rPr>
          <w:b/>
          <w:bCs/>
        </w:rPr>
        <w:t xml:space="preserve">trimestral</w:t>
      </w:r>
      <w:r>
        <w:t xml:space="preserve">, bajo control del </w:t>
      </w:r>
      <w:r>
        <w:rPr>
          <w:b/>
          <w:bCs/>
        </w:rPr>
        <w:t xml:space="preserve">Consejo de Transparencia y Protección de Datos de Andalucía</w:t>
      </w:r>
      <w:r>
        <w:t xml:space="preserve">.</w:t>
      </w:r>
    </w:p>
    <w:p>
      <w:pPr>
        <w:pStyle w:val="ListParagraph"/>
        <w:numPr>
          <w:ilvl w:val="0"/>
          <w:numId w:val="2"/>
        </w:numPr>
        <w:spacing w:after="60"/>
      </w:pPr>
      <w:r>
        <w:rPr>
          <w:b/>
          <w:bCs/>
        </w:rPr>
        <w:t xml:space="preserve">Título III</w:t>
      </w:r>
      <w:r>
        <w:t xml:space="preserve">: reconoce el derecho de acceso a </w:t>
      </w:r>
      <w:r>
        <w:rPr>
          <w:b/>
          <w:bCs/>
        </w:rPr>
        <w:t xml:space="preserve">"todas las personas"</w:t>
      </w:r>
      <w:r>
        <w:t xml:space="preserve">, sin necesidad de motivación, con límites tasados por la legislación básica, resolución en </w:t>
      </w:r>
      <w:r>
        <w:rPr>
          <w:b/>
          <w:bCs/>
        </w:rPr>
        <w:t xml:space="preserve">20 días hábiles</w:t>
      </w:r>
      <w:r>
        <w:t xml:space="preserve"> (prorrogables otros 20), reglas especiales que restringen las causas de inadmisión (información en curso de elaboración, informe preceptivo, reelaboración), y reclamación </w:t>
      </w:r>
      <w:r>
        <w:rPr>
          <w:b/>
          <w:bCs/>
        </w:rPr>
        <w:t xml:space="preserve">potestativa</w:t>
      </w:r>
      <w:r>
        <w:t xml:space="preserve"> ante el Consejo de Transparencia antes de acudir a la vía contencioso-administrativa.</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2026-08-16T11:14:44.098Z</dcterms:created>
  <dcterms:modified xsi:type="dcterms:W3CDTF">2026-08-16T11:14:44.098Z</dcterms:modified>
</cp:coreProperties>
</file>

<file path=docProps/custom.xml><?xml version="1.0" encoding="utf-8"?>
<Properties xmlns="http://schemas.openxmlformats.org/officeDocument/2006/custom-properties" xmlns:vt="http://schemas.openxmlformats.org/officeDocument/2006/docPropsVTypes"/>
</file>