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Tema 14. Reglamento de Provisión de Puestos PTGAS UAL</w:t>
      </w:r>
    </w:p>
    <w:p>
      <w:pPr>
        <w:pStyle w:val="Heading3"/>
        <w:spacing w:after="100" w:before="200"/>
      </w:pPr>
      <w:r>
        <w:t xml:space="preserve">Nota metodológica sobre las fuentes</w:t>
      </w:r>
    </w:p>
    <w:p>
      <w:pPr>
        <w:spacing w:after="120"/>
        <w:jc w:val="both"/>
      </w:pPr>
      <w:r>
        <w:t xml:space="preserve">Este resumen se ha elaborado a partir de la </w:t>
      </w:r>
      <w:r>
        <w:rPr>
          <w:b/>
          <w:bCs/>
        </w:rPr>
        <w:t xml:space="preserve">Resolución de 15 de diciembre de 2025, de la Universidad de Almería</w:t>
      </w:r>
      <w:r>
        <w:t xml:space="preserve">, por la que se dispone la publicación del </w:t>
      </w:r>
      <w:r>
        <w:rPr>
          <w:b/>
          <w:bCs/>
        </w:rPr>
        <w:t xml:space="preserve">Reglamento de provisión de puestos de trabajo del Personal Técnico, de Gestión y de Administración y Servicios (PTGAS) funcionario de la Universidad de Almería</w:t>
      </w:r>
      <w:r>
        <w:t xml:space="preserve"> (BOJA núm. 244, de 19 de diciembre de 2025), disponible en `ual.es` (https://www.ual.es/download_file/38211/85713) y en el portal del BOJA de la Junta de Andalucía. También se ha localizado una modificación posterior —Acuerdo de Consejo de Gobierno de 21 de mayo de 2026, publicado por Resolución de 1 de junio de 2026 (BOJA núm. 108)— que afecta únicamente al apartado 1.3.1 ("Titulación Académica Oficial") del baremo de méritos del Anexo I; no se ha podido acceder al detalle exacto de esa modificación puntual, por lo que </w:t>
      </w:r>
      <w:r>
        <w:rPr>
          <w:b/>
          <w:bCs/>
        </w:rPr>
        <w:t xml:space="preserve">no se dan por buenas cifras concretas de ese apartado sin confirmarlas en el texto oficial del BOE/BOJA antes del examen</w:t>
      </w:r>
      <w:r>
        <w:t xml:space="preserve">.</w:t>
      </w:r>
    </w:p>
    <w:p>
      <w:pPr>
        <w:spacing w:after="120"/>
        <w:jc w:val="both"/>
      </w:pPr>
      <w:r>
        <w:t xml:space="preserve">Todo lo que en este resumen se presenta como </w:t>
      </w:r>
      <w:r>
        <w:rPr>
          <w:b/>
          <w:bCs/>
        </w:rPr>
        <w:t xml:space="preserve">dato concreto de la UAL</w:t>
      </w:r>
      <w:r>
        <w:t xml:space="preserve"> (nombres de sistemas, niveles, plazos, composición de comisiones, puntuaciones del baremo) procede de ese Reglamento y se marca como </w:t>
      </w:r>
      <w:r>
        <w:rPr>
          <w:b/>
          <w:bCs/>
        </w:rPr>
        <w:t xml:space="preserve">[VERIFICADO UAL]</w:t>
      </w:r>
      <w:r>
        <w:t xml:space="preserve">. Todo lo que se presenta como marco general de la función pública española (EBEP y normativa básica) se marca como </w:t>
      </w:r>
      <w:r>
        <w:rPr>
          <w:b/>
          <w:bCs/>
        </w:rPr>
        <w:t xml:space="preserve">[MARCO GENERAL]</w:t>
      </w:r>
      <w:r>
        <w:t xml:space="preserve"> y se ofrece para contextualizar, ya que el propio Reglamento UAL se dicta en desarrollo de esa normativa básica. Se recomienda al opositor contrastar el texto íntegro y vigente en `normativa.ual.es` o `secretariageneral.ual.es` antes del examen, dado que el Reglamento puede sufrir modificaciones puntuales como la de 2026.</w:t>
      </w:r>
    </w:p>
    <w:p>
      <w:pPr>
        <w:pBdr>
          <w:bottom w:val="single" w:color="AAAAAA" w:sz="6" w:space="1"/>
        </w:pBdr>
        <w:spacing w:after="200"/>
      </w:pPr>
    </w:p>
    <w:p>
      <w:pPr>
        <w:pStyle w:val="Heading3"/>
        <w:spacing w:after="100" w:before="200"/>
      </w:pPr>
      <w:r>
        <w:t xml:space="preserve">1. Qué es la "provisión de puestos de trabajo"</w:t>
      </w:r>
    </w:p>
    <w:p>
      <w:pPr>
        <w:spacing w:after="120"/>
        <w:jc w:val="both"/>
      </w:pPr>
      <w:r>
        <w:rPr>
          <w:b/>
          <w:bCs/>
        </w:rPr>
        <w:t xml:space="preserve">[MARCO GENERAL]</w:t>
      </w:r>
      <w:r>
        <w:t xml:space="preserve"> La provisión de puestos de trabajo es el conjunto de procedimientos administrativos mediante los cuales una Administración Pública —en este caso, la Universidad de Almería— asigna o cubre los puestos de trabajo vacantes de su plantilla con personal funcionario, respetando los principios constitucionales de </w:t>
      </w:r>
      <w:r>
        <w:rPr>
          <w:b/>
          <w:bCs/>
        </w:rPr>
        <w:t xml:space="preserve">igualdad, mérito y capacidad</w:t>
      </w:r>
      <w:r>
        <w:t xml:space="preserve"> (art. 103.3 CE) y los de </w:t>
      </w:r>
      <w:r>
        <w:rPr>
          <w:b/>
          <w:bCs/>
        </w:rPr>
        <w:t xml:space="preserve">publicidad</w:t>
      </w:r>
      <w:r>
        <w:t xml:space="preserve"> de las convocatorias. No debe confundirse con el </w:t>
      </w:r>
      <w:r>
        <w:rPr>
          <w:b/>
          <w:bCs/>
        </w:rPr>
        <w:t xml:space="preserve">acceso</w:t>
      </w:r>
      <w:r>
        <w:t xml:space="preserve"> a la función pública (que es la incorporación inicial mediante procesos selectivos): la provisión de puestos presupone que la persona ya es funcionaria y lo que se decide es a qué puesto concreto de la Relación de Puestos de Trabajo (RPT) accede.</w:t>
      </w:r>
    </w:p>
    <w:p>
      <w:pPr>
        <w:spacing w:after="120"/>
        <w:jc w:val="both"/>
      </w:pPr>
      <w:r>
        <w:rPr>
          <w:b/>
          <w:bCs/>
        </w:rPr>
        <w:t xml:space="preserve">[VERIFICADO UAL]</w:t>
      </w:r>
      <w:r>
        <w:t xml:space="preserve"> El Reglamento de la UAL, aprobado para el PTGAS funcionario, define este marco reproduciendo esos mismos principios de "igualdad, mérito, capacidad y publicidad" como ejes del sistema de provisión, y establece el </w:t>
      </w:r>
      <w:r>
        <w:rPr>
          <w:b/>
          <w:bCs/>
        </w:rPr>
        <w:t xml:space="preserve">concurso</w:t>
      </w:r>
      <w:r>
        <w:t xml:space="preserve"> como "sistema normal de provisión" de puestos, reservando la </w:t>
      </w:r>
      <w:r>
        <w:rPr>
          <w:b/>
          <w:bCs/>
        </w:rPr>
        <w:t xml:space="preserve">libre designación</w:t>
      </w:r>
      <w:r>
        <w:t xml:space="preserve"> a supuestos tasados.</w:t>
      </w:r>
    </w:p>
    <w:p>
      <w:pPr>
        <w:spacing w:after="120"/>
        <w:jc w:val="both"/>
      </w:pPr>
      <w:r>
        <w:t xml:space="preserve">⚠️ </w:t>
      </w:r>
      <w:r>
        <w:rPr>
          <w:b/>
          <w:bCs/>
        </w:rPr>
        <w:t xml:space="preserve">MUY PREGUNTADO EN EXAMEN</w:t>
      </w:r>
      <w:r>
        <w:t xml:space="preserve">: Retener que el sistema *ordinario/normal* de provisión es el </w:t>
      </w:r>
      <w:r>
        <w:rPr>
          <w:b/>
          <w:bCs/>
        </w:rPr>
        <w:t xml:space="preserve">concurso</w:t>
      </w:r>
      <w:r>
        <w:t xml:space="preserve">, y que la libre designación es la </w:t>
      </w:r>
      <w:r>
        <w:rPr>
          <w:b/>
          <w:bCs/>
        </w:rPr>
        <w:t xml:space="preserve">excepción</w:t>
      </w:r>
      <w:r>
        <w:t xml:space="preserve">, limitada a puestos directivos o de especial responsabilidad.</w:t>
      </w:r>
    </w:p>
    <w:p>
      <w:pPr>
        <w:pBdr>
          <w:bottom w:val="single" w:color="AAAAAA" w:sz="6" w:space="1"/>
        </w:pBdr>
        <w:spacing w:after="200"/>
      </w:pPr>
    </w:p>
    <w:p>
      <w:pPr>
        <w:pStyle w:val="Heading3"/>
        <w:spacing w:after="100" w:before="200"/>
      </w:pPr>
      <w:r>
        <w:t xml:space="preserve">2. Los sistemas de provisión regulados en el Reglamento UAL</w:t>
      </w:r>
    </w:p>
    <w:p>
      <w:pPr>
        <w:spacing w:after="120"/>
        <w:jc w:val="both"/>
      </w:pPr>
      <w:r>
        <w:t xml:space="preserve">El Reglamento distingue, de forma similar a como lo hace la normativa estatal y autonómica de función pública, entre </w:t>
      </w:r>
      <w:r>
        <w:rPr>
          <w:b/>
          <w:bCs/>
        </w:rPr>
        <w:t xml:space="preserve">procedimientos definitivos</w:t>
      </w:r>
      <w:r>
        <w:t xml:space="preserve"> (dan lugar a un destino con carácter permanente) y </w:t>
      </w:r>
      <w:r>
        <w:rPr>
          <w:b/>
          <w:bCs/>
        </w:rPr>
        <w:t xml:space="preserve">procedimientos provisionales o temporales</w:t>
      </w:r>
      <w:r>
        <w:t xml:space="preserve"> (cubren una necesidad transitoria mientras se resuelve el procedimiento definitivo correspondiente).</w:t>
      </w:r>
    </w:p>
    <w:p>
      <w:pPr>
        <w:pStyle w:val="Heading4"/>
        <w:spacing w:after="80" w:before="150"/>
      </w:pPr>
      <w:r>
        <w:t xml:space="preserve">2.1 El Concurso (general y específico) — sistema normal</w:t>
      </w:r>
    </w:p>
    <w:p>
      <w:pPr>
        <w:spacing w:after="120"/>
        <w:jc w:val="both"/>
      </w:pPr>
      <w:r>
        <w:rPr>
          <w:b/>
          <w:bCs/>
        </w:rPr>
        <w:t xml:space="preserve">[VERIFICADO UAL]</w:t>
      </w:r>
      <w:r>
        <w:t xml:space="preserve"> El concurso es el procedimiento ordinario de provisión y se divide en dos modalidades:</w:t>
      </w:r>
    </w:p>
    <w:p>
      <w:pPr>
        <w:pStyle w:val="ListParagraph"/>
        <w:numPr>
          <w:ilvl w:val="0"/>
          <w:numId w:val="2"/>
        </w:numPr>
        <w:spacing w:after="60"/>
      </w:pPr>
      <w:r>
        <w:rPr>
          <w:b/>
          <w:bCs/>
        </w:rPr>
        <w:t xml:space="preserve">Concurso General</w:t>
      </w:r>
      <w:r>
        <w:t xml:space="preserve">: es la modalidad por defecto, aplicable a los puestos de trabajo cuyo nivel de complemento de destino es </w:t>
      </w:r>
      <w:r>
        <w:rPr>
          <w:b/>
          <w:bCs/>
        </w:rPr>
        <w:t xml:space="preserve">inferior a 25</w:t>
      </w:r>
      <w:r>
        <w:t xml:space="preserve">. Se valoran exclusivamente méritos "generales" (los recogidos en la Fase I del baremo).</w:t>
      </w:r>
    </w:p>
    <w:p>
      <w:pPr>
        <w:pStyle w:val="ListParagraph"/>
        <w:numPr>
          <w:ilvl w:val="0"/>
          <w:numId w:val="2"/>
        </w:numPr>
        <w:spacing w:after="60"/>
      </w:pPr>
      <w:r>
        <w:rPr>
          <w:b/>
          <w:bCs/>
        </w:rPr>
        <w:t xml:space="preserve">Concurso Específico</w:t>
      </w:r>
      <w:r>
        <w:t xml:space="preserve">: se aplica a los puestos con nivel de complemento de destino </w:t>
      </w:r>
      <w:r>
        <w:rPr>
          <w:b/>
          <w:bCs/>
        </w:rPr>
        <w:t xml:space="preserve">igual o superior a 25</w:t>
      </w:r>
      <w:r>
        <w:t xml:space="preserve"> (puestos de mayor responsabilidad técnica u organizativa). Además de los méritos generales de la Fase I (ponderados con un coeficiente reductor, x0,45), se valora una </w:t>
      </w:r>
      <w:r>
        <w:rPr>
          <w:b/>
          <w:bCs/>
        </w:rPr>
        <w:t xml:space="preserve">Fase II de méritos específicos</w:t>
      </w:r>
      <w:r>
        <w:t xml:space="preserve">, que puede incluir la presentación de una </w:t>
      </w:r>
      <w:r>
        <w:rPr>
          <w:b/>
          <w:bCs/>
        </w:rPr>
        <w:t xml:space="preserve">memoria</w:t>
      </w:r>
      <w:r>
        <w:t xml:space="preserve"> sobre el puesto y, para los niveles más altos (27 y superiores), una </w:t>
      </w:r>
      <w:r>
        <w:rPr>
          <w:b/>
          <w:bCs/>
        </w:rPr>
        <w:t xml:space="preserve">entrevista</w:t>
      </w:r>
      <w:r>
        <w:t xml:space="preserve">.</w:t>
      </w:r>
    </w:p>
    <w:p>
      <w:pPr>
        <w:spacing w:after="120"/>
        <w:jc w:val="both"/>
      </w:pPr>
      <w:r>
        <w:rPr>
          <w:b/>
          <w:bCs/>
        </w:rPr>
        <w:t xml:space="preserve">Por qué existen dos modalidades</w:t>
      </w:r>
      <w:r>
        <w:t xml:space="preserve">: el concurso general prioriza la carrera administrativa "horizontal" (antigüedad, formación general, experiencia), mientras que el concurso específico añade una valoración cualitativa del proyecto/idoneidad de la persona candidata para un puesto de mayor complejidad, mediante memoria y, en su caso, entrevista.</w:t>
      </w:r>
    </w:p>
    <w:p>
      <w:pPr>
        <w:spacing w:after="120"/>
        <w:jc w:val="both"/>
      </w:pPr>
      <w:r>
        <w:t xml:space="preserve">⚠️ </w:t>
      </w:r>
      <w:r>
        <w:rPr>
          <w:b/>
          <w:bCs/>
        </w:rPr>
        <w:t xml:space="preserve">MUY PREGUNTADO EN EXAMEN</w:t>
      </w:r>
      <w:r>
        <w:t xml:space="preserve">: El </w:t>
      </w:r>
      <w:r>
        <w:rPr>
          <w:b/>
          <w:bCs/>
        </w:rPr>
        <w:t xml:space="preserve">nivel 25</w:t>
      </w:r>
      <w:r>
        <w:t xml:space="preserve"> de complemento de destino es la frontera entre concurso general (nivel &lt;25) y concurso específico (nivel ≥25). Memorizar este umbral es muy rentable para el examen tipo test.</w:t>
      </w:r>
    </w:p>
    <w:p>
      <w:pPr>
        <w:spacing w:after="120"/>
        <w:jc w:val="both"/>
      </w:pPr>
      <w:r>
        <w:t xml:space="preserve">##### Fases del procedimiento de concurso [VERIFICADO UAL]</w:t>
      </w:r>
    </w:p>
    <w:p>
      <w:pPr>
        <w:pStyle w:val="ListParagraph"/>
        <w:numPr>
          <w:ilvl w:val="0"/>
          <w:numId w:val="3"/>
        </w:numPr>
        <w:spacing w:after="60"/>
      </w:pPr>
      <w:r>
        <w:rPr>
          <w:b/>
          <w:bCs/>
        </w:rPr>
        <w:t xml:space="preserve">Convocatoria</w:t>
      </w:r>
      <w:r>
        <w:t xml:space="preserve">: Gerencia convoca el concurso y lo publica (BOJA cuando corresponde, y en los tablones/web de la UAL).</w:t>
      </w:r>
    </w:p>
    <w:p>
      <w:pPr>
        <w:pStyle w:val="ListParagraph"/>
        <w:numPr>
          <w:ilvl w:val="0"/>
          <w:numId w:val="3"/>
        </w:numPr>
        <w:spacing w:after="60"/>
      </w:pPr>
      <w:r>
        <w:rPr>
          <w:b/>
          <w:bCs/>
        </w:rPr>
        <w:t xml:space="preserve">Presentación de solicitudes</w:t>
      </w:r>
      <w:r>
        <w:t xml:space="preserve">: plazo de </w:t>
      </w:r>
      <w:r>
        <w:rPr>
          <w:b/>
          <w:bCs/>
        </w:rPr>
        <w:t xml:space="preserve">10 días hábiles</w:t>
      </w:r>
      <w:r>
        <w:t xml:space="preserve"> si la convocatoria se publica en BOJA (el plazo general suele fijarse en </w:t>
      </w:r>
      <w:r>
        <w:rPr>
          <w:b/>
          <w:bCs/>
        </w:rPr>
        <w:t xml:space="preserve">5 días hábiles</w:t>
      </w:r>
      <w:r>
        <w:t xml:space="preserve"> para otros procedimientos internos, según el trámite).</w:t>
      </w:r>
    </w:p>
    <w:p>
      <w:pPr>
        <w:pStyle w:val="ListParagraph"/>
        <w:numPr>
          <w:ilvl w:val="0"/>
          <w:numId w:val="3"/>
        </w:numPr>
        <w:spacing w:after="60"/>
      </w:pPr>
      <w:r>
        <w:rPr>
          <w:b/>
          <w:bCs/>
        </w:rPr>
        <w:t xml:space="preserve">Autobaremación</w:t>
      </w:r>
      <w:r>
        <w:t xml:space="preserve"> de méritos por parte de la persona solicitante (aportación de documentación justificativa).</w:t>
      </w:r>
    </w:p>
    <w:p>
      <w:pPr>
        <w:pStyle w:val="ListParagraph"/>
        <w:numPr>
          <w:ilvl w:val="0"/>
          <w:numId w:val="3"/>
        </w:numPr>
        <w:spacing w:after="60"/>
      </w:pPr>
      <w:r>
        <w:rPr>
          <w:b/>
          <w:bCs/>
        </w:rPr>
        <w:t xml:space="preserve">Constitución de la Comisión de Valoración</w:t>
      </w:r>
      <w:r>
        <w:t xml:space="preserve">, que revisa y puntúa los méritos.</w:t>
      </w:r>
    </w:p>
    <w:p>
      <w:pPr>
        <w:pStyle w:val="ListParagraph"/>
        <w:numPr>
          <w:ilvl w:val="0"/>
          <w:numId w:val="3"/>
        </w:numPr>
        <w:spacing w:after="60"/>
      </w:pPr>
      <w:r>
        <w:rPr>
          <w:b/>
          <w:bCs/>
        </w:rPr>
        <w:t xml:space="preserve">Lista provisional de puntuaciones</w:t>
      </w:r>
      <w:r>
        <w:t xml:space="preserve">: publicación y apertura de plazo de </w:t>
      </w:r>
      <w:r>
        <w:rPr>
          <w:b/>
          <w:bCs/>
        </w:rPr>
        <w:t xml:space="preserve">reclamaciones (5 días hábiles)</w:t>
      </w:r>
      <w:r>
        <w:t xml:space="preserve">.</w:t>
      </w:r>
    </w:p>
    <w:p>
      <w:pPr>
        <w:pStyle w:val="ListParagraph"/>
        <w:numPr>
          <w:ilvl w:val="0"/>
          <w:numId w:val="3"/>
        </w:numPr>
        <w:spacing w:after="60"/>
      </w:pPr>
      <w:r>
        <w:rPr>
          <w:b/>
          <w:bCs/>
        </w:rPr>
        <w:t xml:space="preserve">Resolución del concurso</w:t>
      </w:r>
      <w:r>
        <w:t xml:space="preserve">: adjudicación de destinos, con un plazo máximo de resolución de </w:t>
      </w:r>
      <w:r>
        <w:rPr>
          <w:b/>
          <w:bCs/>
        </w:rPr>
        <w:t xml:space="preserve">6 meses</w:t>
      </w:r>
      <w:r>
        <w:t xml:space="preserve"> en el concurso general y de </w:t>
      </w:r>
      <w:r>
        <w:rPr>
          <w:b/>
          <w:bCs/>
        </w:rPr>
        <w:t xml:space="preserve">1 mes, ampliable a 4 meses</w:t>
      </w:r>
      <w:r>
        <w:t xml:space="preserve">, en el concurso específico (por la complejidad añadida de la memoria/entrevista).</w:t>
      </w:r>
    </w:p>
    <w:p>
      <w:pPr>
        <w:pStyle w:val="ListParagraph"/>
        <w:numPr>
          <w:ilvl w:val="0"/>
          <w:numId w:val="3"/>
        </w:numPr>
        <w:spacing w:after="60"/>
      </w:pPr>
      <w:r>
        <w:rPr>
          <w:b/>
          <w:bCs/>
        </w:rPr>
        <w:t xml:space="preserve">Aprobación por el Rector</w:t>
      </w:r>
      <w:r>
        <w:t xml:space="preserve"> y publicación de la adjudicación definitiva.</w:t>
      </w:r>
    </w:p>
    <w:p>
      <w:pPr>
        <w:pStyle w:val="ListParagraph"/>
        <w:numPr>
          <w:ilvl w:val="0"/>
          <w:numId w:val="3"/>
        </w:numPr>
        <w:spacing w:after="60"/>
      </w:pPr>
      <w:r>
        <w:rPr>
          <w:b/>
          <w:bCs/>
        </w:rPr>
        <w:t xml:space="preserve">Toma de posesión</w:t>
      </w:r>
      <w:r>
        <w:t xml:space="preserve"> del nuevo destino, con cese en el puesto de origen.</w:t>
      </w:r>
    </w:p>
    <w:p>
      <w:pPr>
        <w:spacing w:after="120"/>
        <w:jc w:val="both"/>
      </w:pPr>
      <w:r>
        <w:t xml:space="preserve">##### Requisitos para participar en el concurso [VERIFICADO UAL]</w:t>
      </w:r>
    </w:p>
    <w:p>
      <w:pPr>
        <w:pStyle w:val="ListParagraph"/>
        <w:numPr>
          <w:ilvl w:val="0"/>
          <w:numId w:val="2"/>
        </w:numPr>
        <w:spacing w:after="60"/>
      </w:pPr>
      <w:r>
        <w:t xml:space="preserve">Ser </w:t>
      </w:r>
      <w:r>
        <w:rPr>
          <w:b/>
          <w:bCs/>
        </w:rPr>
        <w:t xml:space="preserve">funcionario/a de carrera en servicio activo</w:t>
      </w:r>
      <w:r>
        <w:t xml:space="preserve"> (con excepciones tasadas, como quienes están suspensos en firme).</w:t>
      </w:r>
    </w:p>
    <w:p>
      <w:pPr>
        <w:pStyle w:val="ListParagraph"/>
        <w:numPr>
          <w:ilvl w:val="0"/>
          <w:numId w:val="2"/>
        </w:numPr>
        <w:spacing w:after="60"/>
      </w:pPr>
      <w:r>
        <w:rPr>
          <w:b/>
          <w:bCs/>
        </w:rPr>
        <w:t xml:space="preserve">Dos años de permanencia</w:t>
      </w:r>
      <w:r>
        <w:t xml:space="preserve"> en el puesto de trabajo obtenido con carácter definitivo, como requisito para poder participar </w:t>
      </w:r>
      <w:r>
        <w:rPr>
          <w:b/>
          <w:bCs/>
        </w:rPr>
        <w:t xml:space="preserve">por primera vez</w:t>
      </w:r>
      <w:r>
        <w:t xml:space="preserve"> en un concurso general.</w:t>
      </w:r>
    </w:p>
    <w:p>
      <w:pPr>
        <w:pStyle w:val="ListParagraph"/>
        <w:numPr>
          <w:ilvl w:val="0"/>
          <w:numId w:val="2"/>
        </w:numPr>
        <w:spacing w:after="60"/>
      </w:pPr>
      <w:r>
        <w:rPr>
          <w:b/>
          <w:bCs/>
        </w:rPr>
        <w:t xml:space="preserve">Tres años</w:t>
      </w:r>
      <w:r>
        <w:t xml:space="preserve"> en el puesto obtenido por concurso específico, para poder concursar de nuevo a otro puesto por esa vía en sucesivos procesos.</w:t>
      </w:r>
    </w:p>
    <w:p>
      <w:pPr>
        <w:pStyle w:val="ListParagraph"/>
        <w:numPr>
          <w:ilvl w:val="0"/>
          <w:numId w:val="2"/>
        </w:numPr>
        <w:spacing w:after="60"/>
      </w:pPr>
      <w:r>
        <w:t xml:space="preserve">En determinados supuestos, pueden concurrir funcionarios de otras Administraciones Públicas.</w:t>
      </w:r>
    </w:p>
    <w:p>
      <w:pPr>
        <w:spacing w:after="120"/>
        <w:jc w:val="both"/>
      </w:pPr>
      <w:r>
        <w:t xml:space="preserve">⚠️ </w:t>
      </w:r>
      <w:r>
        <w:rPr>
          <w:b/>
          <w:bCs/>
        </w:rPr>
        <w:t xml:space="preserve">MUY PREGUNTADO EN EXAMEN</w:t>
      </w:r>
      <w:r>
        <w:t xml:space="preserve">: Los plazos "2 años" (primer concurso general) y "3 años" (sucesivos concursos específicos) son un clásico de examen tipo test por su similitud y posible confusión.</w:t>
      </w:r>
    </w:p>
    <w:p>
      <w:pPr>
        <w:spacing w:after="120"/>
        <w:jc w:val="both"/>
      </w:pPr>
      <w:r>
        <w:t xml:space="preserve">##### El baremo de méritos (Anexo I) [VERIFICADO UAL]</w:t>
      </w:r>
    </w:p>
    <w:p>
      <w:pPr>
        <w:spacing w:after="120"/>
        <w:jc w:val="both"/>
      </w:pPr>
      <w:r>
        <w:rPr>
          <w:b/>
          <w:bCs/>
        </w:rPr>
        <w:t xml:space="preserve">Fase I – Méritos generales</w:t>
      </w:r>
      <w:r>
        <w:t xml:space="preserve"> (máximo 100 puntos; en el concurso específico se pondera x0,45):</w:t>
      </w:r>
    </w:p>
    <w:p>
      <w:pPr>
        <w:spacing w:after="120"/>
        <w:jc w:val="both"/>
      </w:pPr>
      <w:r>
        <w:t xml:space="preserve">| Mérito | Puntuación máxima |</w:t>
      </w:r>
    </w:p>
    <w:p>
      <w:pPr>
        <w:spacing w:after="120"/>
        <w:jc w:val="both"/>
      </w:pPr>
      <w:r>
        <w:t xml:space="preserve">|---|---|</w:t>
      </w:r>
    </w:p>
    <w:p>
      <w:pPr>
        <w:spacing w:after="120"/>
        <w:jc w:val="both"/>
      </w:pPr>
      <w:r>
        <w:t xml:space="preserve">| Grado personal consolidado | 15 puntos |</w:t>
      </w:r>
    </w:p>
    <w:p>
      <w:pPr>
        <w:spacing w:after="120"/>
        <w:jc w:val="both"/>
      </w:pPr>
      <w:r>
        <w:t xml:space="preserve">| Valoración del trabajo desarrollado / experiencia profesional | 30 puntos |</w:t>
      </w:r>
    </w:p>
    <w:p>
      <w:pPr>
        <w:spacing w:after="120"/>
        <w:jc w:val="both"/>
      </w:pPr>
      <w:r>
        <w:t xml:space="preserve">| Formación académica y actividades de formación transversal | 35 puntos |</w:t>
      </w:r>
    </w:p>
    <w:p>
      <w:pPr>
        <w:spacing w:after="120"/>
        <w:jc w:val="both"/>
      </w:pPr>
      <w:r>
        <w:t xml:space="preserve">| Antigüedad | 20 puntos |</w:t>
      </w:r>
    </w:p>
    <w:p>
      <w:pPr>
        <w:spacing w:after="120"/>
        <w:jc w:val="both"/>
      </w:pPr>
      <w:r>
        <w:rPr>
          <w:b/>
          <w:bCs/>
        </w:rPr>
        <w:t xml:space="preserve">Fase II – Méritos específicos</w:t>
      </w:r>
      <w:r>
        <w:t xml:space="preserve"> (solo concurso específico; máximo 55 puntos):</w:t>
      </w:r>
    </w:p>
    <w:p>
      <w:pPr>
        <w:spacing w:after="120"/>
        <w:jc w:val="both"/>
      </w:pPr>
      <w:r>
        <w:t xml:space="preserve">| Mérito | Puntuación máxima |</w:t>
      </w:r>
    </w:p>
    <w:p>
      <w:pPr>
        <w:spacing w:after="120"/>
        <w:jc w:val="both"/>
      </w:pPr>
      <w:r>
        <w:t xml:space="preserve">|---|---|</w:t>
      </w:r>
    </w:p>
    <w:p>
      <w:pPr>
        <w:spacing w:after="120"/>
        <w:jc w:val="both"/>
      </w:pPr>
      <w:r>
        <w:t xml:space="preserve">| Formación específica relacionada con el puesto | 25 puntos |</w:t>
      </w:r>
    </w:p>
    <w:p>
      <w:pPr>
        <w:spacing w:after="120"/>
        <w:jc w:val="both"/>
      </w:pPr>
      <w:r>
        <w:t xml:space="preserve">| Memoria (propuesta organizativa/técnica sobre el puesto) | 20-30 puntos (según el nivel del puesto) |</w:t>
      </w:r>
    </w:p>
    <w:p>
      <w:pPr>
        <w:spacing w:after="120"/>
        <w:jc w:val="both"/>
      </w:pPr>
      <w:r>
        <w:t xml:space="preserve">| Entrevista (solo puestos de nivel 27 o superior) | 10 puntos |</w:t>
      </w:r>
    </w:p>
    <w:p>
      <w:pPr>
        <w:spacing w:after="120"/>
        <w:jc w:val="both"/>
      </w:pPr>
      <w:r>
        <w:rPr>
          <w:b/>
          <w:bCs/>
        </w:rPr>
        <w:t xml:space="preserve">Detalle de la experiencia profesional</w:t>
      </w:r>
      <w:r>
        <w:t xml:space="preserve"> (dentro de la valoración del trabajo desarrollado):</w:t>
      </w:r>
    </w:p>
    <w:p>
      <w:pPr>
        <w:pStyle w:val="ListParagraph"/>
        <w:numPr>
          <w:ilvl w:val="0"/>
          <w:numId w:val="2"/>
        </w:numPr>
        <w:spacing w:after="60"/>
      </w:pPr>
      <w:r>
        <w:t xml:space="preserve">Servicios prestados en el </w:t>
      </w:r>
      <w:r>
        <w:rPr>
          <w:b/>
          <w:bCs/>
        </w:rPr>
        <w:t xml:space="preserve">mismo puesto</w:t>
      </w:r>
      <w:r>
        <w:t xml:space="preserve">: 1 punto/año.</w:t>
      </w:r>
    </w:p>
    <w:p>
      <w:pPr>
        <w:pStyle w:val="ListParagraph"/>
        <w:numPr>
          <w:ilvl w:val="0"/>
          <w:numId w:val="2"/>
        </w:numPr>
        <w:spacing w:after="60"/>
      </w:pPr>
      <w:r>
        <w:t xml:space="preserve">Servicios en el </w:t>
      </w:r>
      <w:r>
        <w:rPr>
          <w:b/>
          <w:bCs/>
        </w:rPr>
        <w:t xml:space="preserve">mismo Servicio/Unidad</w:t>
      </w:r>
      <w:r>
        <w:t xml:space="preserve">: 0,70 puntos/año.</w:t>
      </w:r>
    </w:p>
    <w:p>
      <w:pPr>
        <w:pStyle w:val="ListParagraph"/>
        <w:numPr>
          <w:ilvl w:val="0"/>
          <w:numId w:val="2"/>
        </w:numPr>
        <w:spacing w:after="60"/>
      </w:pPr>
      <w:r>
        <w:t xml:space="preserve">Servicios en la </w:t>
      </w:r>
      <w:r>
        <w:rPr>
          <w:b/>
          <w:bCs/>
        </w:rPr>
        <w:t xml:space="preserve">misma Área</w:t>
      </w:r>
      <w:r>
        <w:t xml:space="preserve">: 0,25 puntos/año.</w:t>
      </w:r>
    </w:p>
    <w:p>
      <w:pPr>
        <w:spacing w:after="120"/>
        <w:jc w:val="both"/>
      </w:pPr>
      <w:r>
        <w:rPr>
          <w:b/>
          <w:bCs/>
        </w:rPr>
        <w:t xml:space="preserve">Detalle de la formación</w:t>
      </w:r>
      <w:r>
        <w:t xml:space="preserve">:</w:t>
      </w:r>
    </w:p>
    <w:p>
      <w:pPr>
        <w:pStyle w:val="ListParagraph"/>
        <w:numPr>
          <w:ilvl w:val="0"/>
          <w:numId w:val="2"/>
        </w:numPr>
        <w:spacing w:after="60"/>
      </w:pPr>
      <w:r>
        <w:t xml:space="preserve">Titulación académica de nivel superior a la exigida (p. ej. Máster): hasta 10 puntos.</w:t>
      </w:r>
    </w:p>
    <w:p>
      <w:pPr>
        <w:pStyle w:val="ListParagraph"/>
        <w:numPr>
          <w:ilvl w:val="0"/>
          <w:numId w:val="2"/>
        </w:numPr>
        <w:spacing w:after="60"/>
      </w:pPr>
      <w:r>
        <w:t xml:space="preserve">Idiomas: hasta 5 puntos.</w:t>
      </w:r>
    </w:p>
    <w:p>
      <w:pPr>
        <w:pStyle w:val="ListParagraph"/>
        <w:numPr>
          <w:ilvl w:val="0"/>
          <w:numId w:val="2"/>
        </w:numPr>
        <w:spacing w:after="60"/>
      </w:pPr>
      <w:r>
        <w:t xml:space="preserve">Títulos propios/formación no reglada: 0,02 puntos/crédito.</w:t>
      </w:r>
    </w:p>
    <w:p>
      <w:pPr>
        <w:pStyle w:val="ListParagraph"/>
        <w:numPr>
          <w:ilvl w:val="0"/>
          <w:numId w:val="2"/>
        </w:numPr>
        <w:spacing w:after="60"/>
      </w:pPr>
      <w:r>
        <w:t xml:space="preserve">Actividades de formación transversal: puntuación según horas/tipo de actividad.</w:t>
      </w:r>
    </w:p>
    <w:p>
      <w:pPr>
        <w:spacing w:after="120"/>
        <w:jc w:val="both"/>
      </w:pPr>
      <w:r>
        <w:rPr>
          <w:b/>
          <w:bCs/>
        </w:rPr>
        <w:t xml:space="preserve">Detalle de la antigüedad</w:t>
      </w:r>
      <w:r>
        <w:t xml:space="preserve">:</w:t>
      </w:r>
    </w:p>
    <w:p>
      <w:pPr>
        <w:pStyle w:val="ListParagraph"/>
        <w:numPr>
          <w:ilvl w:val="0"/>
          <w:numId w:val="2"/>
        </w:numPr>
        <w:spacing w:after="60"/>
      </w:pPr>
      <w:r>
        <w:t xml:space="preserve">Servicios en la UAL: 0,5 puntos/año.</w:t>
      </w:r>
    </w:p>
    <w:p>
      <w:pPr>
        <w:pStyle w:val="ListParagraph"/>
        <w:numPr>
          <w:ilvl w:val="0"/>
          <w:numId w:val="2"/>
        </w:numPr>
        <w:spacing w:after="60"/>
      </w:pPr>
      <w:r>
        <w:t xml:space="preserve">Servicios en otra universidad pública: 0,2 puntos/año.</w:t>
      </w:r>
    </w:p>
    <w:p>
      <w:pPr>
        <w:pStyle w:val="ListParagraph"/>
        <w:numPr>
          <w:ilvl w:val="0"/>
          <w:numId w:val="2"/>
        </w:numPr>
        <w:spacing w:after="60"/>
      </w:pPr>
      <w:r>
        <w:t xml:space="preserve">Servicios en otras Administraciones Públicas: 0,1 puntos/año.</w:t>
      </w:r>
    </w:p>
    <w:p>
      <w:pPr>
        <w:spacing w:after="120"/>
        <w:jc w:val="both"/>
      </w:pPr>
      <w:r>
        <w:rPr>
          <w:b/>
          <w:bCs/>
        </w:rPr>
        <w:t xml:space="preserve">Desempeño laboral</w:t>
      </w:r>
      <w:r>
        <w:t xml:space="preserve">: hasta 2,5 puntos adicionales.</w:t>
      </w:r>
    </w:p>
    <w:p>
      <w:pPr>
        <w:spacing w:after="120"/>
        <w:jc w:val="both"/>
      </w:pPr>
      <w:r>
        <w:t xml:space="preserve">⚠️ </w:t>
      </w:r>
      <w:r>
        <w:rPr>
          <w:b/>
          <w:bCs/>
        </w:rPr>
        <w:t xml:space="preserve">MUY PREGUNTADO EN EXAMEN</w:t>
      </w:r>
      <w:r>
        <w:t xml:space="preserve">: La formación académica y transversal es el mérito con </w:t>
      </w:r>
      <w:r>
        <w:rPr>
          <w:b/>
          <w:bCs/>
        </w:rPr>
        <w:t xml:space="preserve">mayor peso</w:t>
      </w:r>
      <w:r>
        <w:t xml:space="preserve"> en la Fase I (35 de 100 puntos), por delante de la experiencia (30) y la antigüedad (20). Esto suele preguntarse pidiendo ordenar los méritos de mayor a menor puntuación.</w:t>
      </w:r>
    </w:p>
    <w:p>
      <w:pPr>
        <w:spacing w:after="120"/>
        <w:jc w:val="both"/>
      </w:pPr>
      <w:r>
        <w:t xml:space="preserve">##### Resolución de empates [VERIFICADO UAL]</w:t>
      </w:r>
    </w:p>
    <w:p>
      <w:pPr>
        <w:pStyle w:val="ListParagraph"/>
        <w:numPr>
          <w:ilvl w:val="0"/>
          <w:numId w:val="2"/>
        </w:numPr>
        <w:spacing w:after="60"/>
      </w:pPr>
      <w:r>
        <w:rPr>
          <w:b/>
          <w:bCs/>
        </w:rPr>
        <w:t xml:space="preserve">En concurso general</w:t>
      </w:r>
      <w:r>
        <w:t xml:space="preserve">: (1) mayor pertenencia a grupo/subgrupo superior; (2) mayor antigüedad en el subgrupo; (3) número de orden obtenido en el proceso selectivo de ingreso.</w:t>
      </w:r>
    </w:p>
    <w:p>
      <w:pPr>
        <w:pStyle w:val="ListParagraph"/>
        <w:numPr>
          <w:ilvl w:val="0"/>
          <w:numId w:val="2"/>
        </w:numPr>
        <w:spacing w:after="60"/>
      </w:pPr>
      <w:r>
        <w:rPr>
          <w:b/>
          <w:bCs/>
        </w:rPr>
        <w:t xml:space="preserve">En concurso específico</w:t>
      </w:r>
      <w:r>
        <w:t xml:space="preserve">: (1) mayor puntuación en la Fase II (méritos específicos); (2) mayor puntuación obtenida en la memoria.</w:t>
      </w:r>
    </w:p>
    <w:p>
      <w:pPr>
        <w:pStyle w:val="Heading4"/>
        <w:spacing w:after="80" w:before="150"/>
      </w:pPr>
      <w:r>
        <w:t xml:space="preserve">2.2 La Libre Designación</w:t>
      </w:r>
    </w:p>
    <w:p>
      <w:pPr>
        <w:spacing w:after="120"/>
        <w:jc w:val="both"/>
      </w:pPr>
      <w:r>
        <w:rPr>
          <w:b/>
          <w:bCs/>
        </w:rPr>
        <w:t xml:space="preserve">[VERIFICADO UAL]</w:t>
      </w:r>
      <w:r>
        <w:t xml:space="preserve"> Es un sistema </w:t>
      </w:r>
      <w:r>
        <w:rPr>
          <w:b/>
          <w:bCs/>
        </w:rPr>
        <w:t xml:space="preserve">excepcional</w:t>
      </w:r>
      <w:r>
        <w:t xml:space="preserve"> reservado exclusivamente a los puestos calificados como de </w:t>
      </w:r>
      <w:r>
        <w:rPr>
          <w:b/>
          <w:bCs/>
        </w:rPr>
        <w:t xml:space="preserve">carácter directivo o de especial responsabilidad</w:t>
      </w:r>
      <w:r>
        <w:t xml:space="preserve">, que deben estar expresamente designados como tales en la RPT. No se basa en un baremo objetivo de méritos, sino en la </w:t>
      </w:r>
      <w:r>
        <w:rPr>
          <w:b/>
          <w:bCs/>
        </w:rPr>
        <w:t xml:space="preserve">apreciación discrecional y técnica</w:t>
      </w:r>
      <w:r>
        <w:t xml:space="preserve"> por parte del órgano competente (normalmente Gerencia/Rectorado) de la idoneidad, competencia y experiencia de la persona candidata para el puesto. El plazo de presentación de solicitudes es de </w:t>
      </w:r>
      <w:r>
        <w:rPr>
          <w:b/>
          <w:bCs/>
        </w:rPr>
        <w:t xml:space="preserve">10 días hábiles</w:t>
      </w:r>
      <w:r>
        <w:t xml:space="preserve"> y el de resolución, de aproximadamente </w:t>
      </w:r>
      <w:r>
        <w:rPr>
          <w:b/>
          <w:bCs/>
        </w:rPr>
        <w:t xml:space="preserve">1 mes</w:t>
      </w:r>
      <w:r>
        <w:t xml:space="preserve">.</w:t>
      </w:r>
    </w:p>
    <w:p>
      <w:pPr>
        <w:spacing w:after="120"/>
        <w:jc w:val="both"/>
      </w:pPr>
      <w:r>
        <w:rPr>
          <w:b/>
          <w:bCs/>
        </w:rPr>
        <w:t xml:space="preserve">Diferencia clave con el concurso</w:t>
      </w:r>
      <w:r>
        <w:t xml:space="preserve">: en el concurso, la adjudicación deriva mecánicamente de una puntuación objetiva (baremo); en la libre designación, la Administración goza de un margen de discrecionalidad técnica, aunque motivada, para elegir a la persona que considere más idónea, sin necesidad de "puntuar" méritos con una tabla cerrada.</w:t>
      </w:r>
    </w:p>
    <w:p>
      <w:pPr>
        <w:spacing w:after="120"/>
        <w:jc w:val="both"/>
      </w:pPr>
      <w:r>
        <w:t xml:space="preserve">⚠️ </w:t>
      </w:r>
      <w:r>
        <w:rPr>
          <w:b/>
          <w:bCs/>
        </w:rPr>
        <w:t xml:space="preserve">MUY PREGUNTADO EN EXAMEN</w:t>
      </w:r>
      <w:r>
        <w:t xml:space="preserve">: Preguntas que piden identificar qué sistema se usa para puestos "directivos o de especial responsabilidad" (respuesta: libre designación) frente a "sistema normal" (respuesta: concurso).</w:t>
      </w:r>
    </w:p>
    <w:p>
      <w:pPr>
        <w:pStyle w:val="Heading4"/>
        <w:spacing w:after="80" w:before="150"/>
      </w:pPr>
      <w:r>
        <w:t xml:space="preserve">2.3 La Comisión de Servicios</w:t>
      </w:r>
    </w:p>
    <w:p>
      <w:pPr>
        <w:spacing w:after="120"/>
        <w:jc w:val="both"/>
      </w:pPr>
      <w:r>
        <w:rPr>
          <w:b/>
          <w:bCs/>
        </w:rPr>
        <w:t xml:space="preserve">[VERIFICADO UAL]</w:t>
      </w:r>
      <w:r>
        <w:t xml:space="preserve"> Es un procedimiento </w:t>
      </w:r>
      <w:r>
        <w:rPr>
          <w:b/>
          <w:bCs/>
        </w:rPr>
        <w:t xml:space="preserve">provisional/temporal</w:t>
      </w:r>
      <w:r>
        <w:t xml:space="preserve">, no definitivo, que permite cubrir un puesto ante una </w:t>
      </w:r>
      <w:r>
        <w:rPr>
          <w:b/>
          <w:bCs/>
        </w:rPr>
        <w:t xml:space="preserve">urgente e inaplazable necesidad</w:t>
      </w:r>
      <w:r>
        <w:t xml:space="preserve"> cuando no puede cubrirse con celeridad por los procedimientos ordinarios (concurso o libre designación) o mientras estos se tramitan. Su duración máxima es de </w:t>
      </w:r>
      <w:r>
        <w:rPr>
          <w:b/>
          <w:bCs/>
        </w:rPr>
        <w:t xml:space="preserve">1 año, prorrogable</w:t>
      </w:r>
      <w:r>
        <w:t xml:space="preserve">. El Reglamento contempla varias modalidades:</w:t>
      </w:r>
    </w:p>
    <w:p>
      <w:pPr>
        <w:pStyle w:val="ListParagraph"/>
        <w:numPr>
          <w:ilvl w:val="0"/>
          <w:numId w:val="2"/>
        </w:numPr>
        <w:spacing w:after="60"/>
      </w:pPr>
      <w:r>
        <w:rPr>
          <w:b/>
          <w:bCs/>
        </w:rPr>
        <w:t xml:space="preserve">Comisión de servicios voluntaria</w:t>
      </w:r>
      <w:r>
        <w:t xml:space="preserve">: a solicitud/con consentimiento de la persona funcionaria.</w:t>
      </w:r>
    </w:p>
    <w:p>
      <w:pPr>
        <w:pStyle w:val="ListParagraph"/>
        <w:numPr>
          <w:ilvl w:val="0"/>
          <w:numId w:val="2"/>
        </w:numPr>
        <w:spacing w:after="60"/>
      </w:pPr>
      <w:r>
        <w:rPr>
          <w:b/>
          <w:bCs/>
        </w:rPr>
        <w:t xml:space="preserve">Comisión de servicios forzosa</w:t>
      </w:r>
      <w:r>
        <w:t xml:space="preserve">: acordada por la Administración sin necesidad del consentimiento del funcionario, por razones organizativas urgentes.</w:t>
      </w:r>
    </w:p>
    <w:p>
      <w:pPr>
        <w:pStyle w:val="ListParagraph"/>
        <w:numPr>
          <w:ilvl w:val="0"/>
          <w:numId w:val="2"/>
        </w:numPr>
        <w:spacing w:after="60"/>
      </w:pPr>
      <w:r>
        <w:rPr>
          <w:b/>
          <w:bCs/>
        </w:rPr>
        <w:t xml:space="preserve">Atribución temporal de funciones</w:t>
      </w:r>
      <w:r>
        <w:t xml:space="preserve">: encomienda de funciones de un puesto distinto al propio, con carácter temporal.</w:t>
      </w:r>
    </w:p>
    <w:p>
      <w:pPr>
        <w:spacing w:after="120"/>
        <w:jc w:val="both"/>
      </w:pPr>
      <w:r>
        <w:t xml:space="preserve">⚠️ </w:t>
      </w:r>
      <w:r>
        <w:rPr>
          <w:b/>
          <w:bCs/>
        </w:rPr>
        <w:t xml:space="preserve">MUY PREGUNTADO EN EXAMEN</w:t>
      </w:r>
      <w:r>
        <w:t xml:space="preserve">: La comisión de servicios es </w:t>
      </w:r>
      <w:r>
        <w:rPr>
          <w:b/>
          <w:bCs/>
        </w:rPr>
        <w:t xml:space="preserve">provisional</w:t>
      </w:r>
      <w:r>
        <w:t xml:space="preserve">, no definitiva; el puesto que se ocupa por comisión de servicios sigue "reservado" para ser cubierto después por el procedimiento definitivo (concurso o libre designación). El plazo de 1 año prorrogable es un dato muy preguntable.</w:t>
      </w:r>
    </w:p>
    <w:p>
      <w:pPr>
        <w:pStyle w:val="Heading4"/>
        <w:spacing w:after="80" w:before="150"/>
      </w:pPr>
      <w:r>
        <w:t xml:space="preserve">2.4 Otros procedimientos de provisión definitivos [VERIFICADO UAL]</w:t>
      </w:r>
    </w:p>
    <w:p>
      <w:pPr>
        <w:spacing w:after="120"/>
        <w:jc w:val="both"/>
      </w:pPr>
      <w:r>
        <w:t xml:space="preserve">El Reglamento regula también, entre otros:</w:t>
      </w:r>
    </w:p>
    <w:p>
      <w:pPr>
        <w:pStyle w:val="ListParagraph"/>
        <w:numPr>
          <w:ilvl w:val="0"/>
          <w:numId w:val="2"/>
        </w:numPr>
        <w:spacing w:after="60"/>
      </w:pPr>
      <w:r>
        <w:rPr>
          <w:b/>
          <w:bCs/>
        </w:rPr>
        <w:t xml:space="preserve">Asignación inicial a nuevo ingreso</w:t>
      </w:r>
      <w:r>
        <w:t xml:space="preserve">: destino que se otorga al personal de nuevo acceso, tras superar el proceso selectivo.</w:t>
      </w:r>
    </w:p>
    <w:p>
      <w:pPr>
        <w:pStyle w:val="ListParagraph"/>
        <w:numPr>
          <w:ilvl w:val="0"/>
          <w:numId w:val="2"/>
        </w:numPr>
        <w:spacing w:after="60"/>
      </w:pPr>
      <w:r>
        <w:rPr>
          <w:b/>
          <w:bCs/>
        </w:rPr>
        <w:t xml:space="preserve">Movilidad por razones de salud o rehabilitación</w:t>
      </w:r>
      <w:r>
        <w:t xml:space="preserve">: adscripción a otro puesto por motivos de salud del funcionario.</w:t>
      </w:r>
    </w:p>
    <w:p>
      <w:pPr>
        <w:pStyle w:val="ListParagraph"/>
        <w:numPr>
          <w:ilvl w:val="0"/>
          <w:numId w:val="2"/>
        </w:numPr>
        <w:spacing w:after="60"/>
      </w:pPr>
      <w:r>
        <w:rPr>
          <w:b/>
          <w:bCs/>
        </w:rPr>
        <w:t xml:space="preserve">Movilidad por violencia de género o acoso laboral/sexual</w:t>
      </w:r>
      <w:r>
        <w:t xml:space="preserve">: derecho a movilidad de la víctima a otro puesto, con reserva del puesto de origen.</w:t>
      </w:r>
    </w:p>
    <w:p>
      <w:pPr>
        <w:pStyle w:val="ListParagraph"/>
        <w:numPr>
          <w:ilvl w:val="0"/>
          <w:numId w:val="2"/>
        </w:numPr>
        <w:spacing w:after="60"/>
      </w:pPr>
      <w:r>
        <w:rPr>
          <w:b/>
          <w:bCs/>
        </w:rPr>
        <w:t xml:space="preserve">Permutas internas</w:t>
      </w:r>
      <w:r>
        <w:t xml:space="preserve">: intercambio de puestos entre dos funcionarios que reúnan los requisitos, sujeto a autorización.</w:t>
      </w:r>
    </w:p>
    <w:p>
      <w:pPr>
        <w:pStyle w:val="ListParagraph"/>
        <w:numPr>
          <w:ilvl w:val="0"/>
          <w:numId w:val="2"/>
        </w:numPr>
        <w:spacing w:after="60"/>
      </w:pPr>
      <w:r>
        <w:rPr>
          <w:b/>
          <w:bCs/>
        </w:rPr>
        <w:t xml:space="preserve">Reasignación de efectivos</w:t>
      </w:r>
      <w:r>
        <w:t xml:space="preserve"> (equivalente a lo que en otras normativas se denomina "redistribución de efectivos"): mecanismo para reubicar personal cuando se amortiza su puesto o se produce un excedente de efectivos en una unidad, adscribiéndolo a otro puesto de similares características.</w:t>
      </w:r>
    </w:p>
    <w:p>
      <w:pPr>
        <w:spacing w:after="120"/>
        <w:jc w:val="both"/>
      </w:pPr>
      <w:r>
        <w:rPr>
          <w:b/>
          <w:bCs/>
        </w:rPr>
        <w:t xml:space="preserve">[MARCO GENERAL]</w:t>
      </w:r>
      <w:r>
        <w:t xml:space="preserve"> Estas figuras (movilidad por salud, por violencia de género, permuta, redistribución/reasignación de efectivos, reingreso al servicio activo) son comunes a la normativa básica de función pública española (regulada con carácter básico por el Estatuto Básico del Empleado Público, actualmente el Texto Refundido del EBEP) y cada Administración —incluidas las universidades públicas, en uso de su autonomía— las desarrolla en su propio reglamento de provisión de puestos, como es el caso de la UAL. El </w:t>
      </w:r>
      <w:r>
        <w:rPr>
          <w:b/>
          <w:bCs/>
        </w:rPr>
        <w:t xml:space="preserve">reingreso al servicio activo</w:t>
      </w:r>
      <w:r>
        <w:t xml:space="preserve"> de quienes se encuentran en situación de excedencia u otra situación administrativa distinta al servicio activo suele articularse, con carácter general en la función pública española, mediante participación en concurso, mediante reingreso provisional o mediante adscripción a puesto vacante, en función de la normativa aplicable en cada momento; el texto exacto que regula esta figura para el PTGAS de la UAL no ha podido confirmarse con el detalle articulado necesario en las fuentes consultadas, por lo que si el examen pregunta por un dato muy específico del reingreso al servicio activo en la UAL, debe contrastarse directamente en el Reglamento.</w:t>
      </w:r>
    </w:p>
    <w:p>
      <w:pPr>
        <w:pBdr>
          <w:bottom w:val="single" w:color="AAAAAA" w:sz="6" w:space="1"/>
        </w:pBdr>
        <w:spacing w:after="200"/>
      </w:pPr>
    </w:p>
    <w:p>
      <w:pPr>
        <w:pStyle w:val="Heading3"/>
        <w:spacing w:after="100" w:before="200"/>
      </w:pPr>
      <w:r>
        <w:t xml:space="preserve">3. Órganos competentes en la provisión de puestos [VERIFICADO UAL]</w:t>
      </w:r>
    </w:p>
    <w:p>
      <w:pPr>
        <w:pStyle w:val="ListParagraph"/>
        <w:numPr>
          <w:ilvl w:val="0"/>
          <w:numId w:val="2"/>
        </w:numPr>
        <w:spacing w:after="60"/>
      </w:pPr>
      <w:r>
        <w:rPr>
          <w:b/>
          <w:bCs/>
        </w:rPr>
        <w:t xml:space="preserve">El Rector</w:t>
      </w:r>
      <w:r>
        <w:t xml:space="preserve">: aprueba las adjudicaciones definitivas de los concursos y de la libre designación, y resuelve los recursos que se interpongan contra las resoluciones del procedimiento.</w:t>
      </w:r>
    </w:p>
    <w:p>
      <w:pPr>
        <w:pStyle w:val="ListParagraph"/>
        <w:numPr>
          <w:ilvl w:val="0"/>
          <w:numId w:val="2"/>
        </w:numPr>
        <w:spacing w:after="60"/>
      </w:pPr>
      <w:r>
        <w:rPr>
          <w:b/>
          <w:bCs/>
        </w:rPr>
        <w:t xml:space="preserve">Gerencia</w:t>
      </w:r>
      <w:r>
        <w:t xml:space="preserve">: es el órgano que convoca los procedimientos de provisión, nombra las comisiones de valoración y gestiona el desarrollo administrativo de todo el proceso.</w:t>
      </w:r>
    </w:p>
    <w:p>
      <w:pPr>
        <w:pStyle w:val="ListParagraph"/>
        <w:numPr>
          <w:ilvl w:val="0"/>
          <w:numId w:val="2"/>
        </w:numPr>
        <w:spacing w:after="60"/>
      </w:pPr>
      <w:r>
        <w:rPr>
          <w:b/>
          <w:bCs/>
        </w:rPr>
        <w:t xml:space="preserve">Junta de Personal</w:t>
      </w:r>
      <w:r>
        <w:t xml:space="preserve">: como órgano de representación del personal funcionario, propone vocales para la Comisión de Valoración y emite informes en el procedimiento.</w:t>
      </w:r>
    </w:p>
    <w:p>
      <w:pPr>
        <w:pStyle w:val="ListParagraph"/>
        <w:numPr>
          <w:ilvl w:val="0"/>
          <w:numId w:val="2"/>
        </w:numPr>
        <w:spacing w:after="60"/>
      </w:pPr>
      <w:r>
        <w:rPr>
          <w:b/>
          <w:bCs/>
        </w:rPr>
        <w:t xml:space="preserve">Comisión de Valoración</w:t>
      </w:r>
      <w:r>
        <w:t xml:space="preserve">: es el órgano técnico encargado de valorar los méritos alegados en los concursos. Su composición es:</w:t>
      </w:r>
    </w:p>
    <w:p>
      <w:pPr>
        <w:pStyle w:val="ListParagraph"/>
        <w:numPr>
          <w:ilvl w:val="1"/>
          <w:numId w:val="2"/>
        </w:numPr>
        <w:spacing w:after="60"/>
      </w:pPr>
      <w:r>
        <w:rPr>
          <w:b/>
          <w:bCs/>
        </w:rPr>
        <w:t xml:space="preserve">Presidencia</w:t>
      </w:r>
      <w:r>
        <w:t xml:space="preserve">: el Gerente o persona en quien delegue.</w:t>
      </w:r>
    </w:p>
    <w:p>
      <w:pPr>
        <w:pStyle w:val="ListParagraph"/>
        <w:numPr>
          <w:ilvl w:val="1"/>
          <w:numId w:val="2"/>
        </w:numPr>
        <w:spacing w:after="60"/>
      </w:pPr>
      <w:r>
        <w:rPr>
          <w:b/>
          <w:bCs/>
        </w:rPr>
        <w:t xml:space="preserve">Cuatro vocales</w:t>
      </w:r>
      <w:r>
        <w:t xml:space="preserve">: dos designados por Gerencia y dos propuestos por la Junta de Personal.</w:t>
      </w:r>
    </w:p>
    <w:p>
      <w:pPr>
        <w:pStyle w:val="ListParagraph"/>
        <w:numPr>
          <w:ilvl w:val="1"/>
          <w:numId w:val="2"/>
        </w:numPr>
        <w:spacing w:after="60"/>
      </w:pPr>
      <w:r>
        <w:rPr>
          <w:b/>
          <w:bCs/>
        </w:rPr>
        <w:t xml:space="preserve">Secretaría</w:t>
      </w:r>
      <w:r>
        <w:t xml:space="preserve">: un funcionario del Servicio de Recursos Humanos, que actúa con voz pero sin voto.</w:t>
      </w:r>
    </w:p>
    <w:p>
      <w:pPr>
        <w:spacing w:after="120"/>
        <w:jc w:val="both"/>
      </w:pPr>
      <w:r>
        <w:t xml:space="preserve">Los principios que deben regir su actuación son la </w:t>
      </w:r>
      <w:r>
        <w:rPr>
          <w:b/>
          <w:bCs/>
        </w:rPr>
        <w:t xml:space="preserve">profesionalidad y especialización</w:t>
      </w:r>
      <w:r>
        <w:t xml:space="preserve"> de sus miembros, la </w:t>
      </w:r>
      <w:r>
        <w:rPr>
          <w:b/>
          <w:bCs/>
        </w:rPr>
        <w:t xml:space="preserve">paridad de género</w:t>
      </w:r>
      <w:r>
        <w:t xml:space="preserve"> en su composición, y la </w:t>
      </w:r>
      <w:r>
        <w:rPr>
          <w:b/>
          <w:bCs/>
        </w:rPr>
        <w:t xml:space="preserve">imparcialidad y objetividad</w:t>
      </w:r>
      <w:r>
        <w:t xml:space="preserve"> en la valoración.</w:t>
      </w:r>
    </w:p>
    <w:p>
      <w:pPr>
        <w:spacing w:after="120"/>
        <w:jc w:val="both"/>
      </w:pPr>
      <w:r>
        <w:t xml:space="preserve">⚠️ </w:t>
      </w:r>
      <w:r>
        <w:rPr>
          <w:b/>
          <w:bCs/>
        </w:rPr>
        <w:t xml:space="preserve">MUY PREGUNTADO EN EXAMEN</w:t>
      </w:r>
      <w:r>
        <w:t xml:space="preserve">: La composición de la Comisión de Valoración (presidencia + 4 vocales + secretaría sin voto, con reparto paritario Gerencia/Junta de Personal) es un contenido muy típico de pregunta tipo test, tanto para identificar el número de vocales como para identificar quién tiene voto y quién no (la Secretaría no vota).</w:t>
      </w:r>
    </w:p>
    <w:p>
      <w:pPr>
        <w:pBdr>
          <w:bottom w:val="single" w:color="AAAAAA" w:sz="6" w:space="1"/>
        </w:pBdr>
        <w:spacing w:after="200"/>
      </w:pPr>
    </w:p>
    <w:p>
      <w:pPr>
        <w:pStyle w:val="Heading3"/>
        <w:spacing w:after="100" w:before="200"/>
      </w:pPr>
      <w:r>
        <w:t xml:space="preserve">4. Cuadro comparativo: cuándo se usa cada sistema</w:t>
      </w:r>
    </w:p>
    <w:p>
      <w:pPr>
        <w:spacing w:after="120"/>
        <w:jc w:val="both"/>
      </w:pPr>
      <w:r>
        <w:t xml:space="preserve">| Sistema | Naturaleza | Cuándo se usa | Basado en |</w:t>
      </w:r>
    </w:p>
    <w:p>
      <w:pPr>
        <w:spacing w:after="120"/>
        <w:jc w:val="both"/>
      </w:pPr>
      <w:r>
        <w:t xml:space="preserve">|---|---|---|---|</w:t>
      </w:r>
    </w:p>
    <w:p>
      <w:pPr>
        <w:spacing w:after="120"/>
        <w:jc w:val="both"/>
      </w:pPr>
      <w:r>
        <w:t xml:space="preserve">| Concurso General | Definitivo | Puestos con nivel de complemento de destino &lt; 25 (la mayoría de puestos) | Baremo objetivo de méritos (Fase I) |</w:t>
      </w:r>
    </w:p>
    <w:p>
      <w:pPr>
        <w:spacing w:after="120"/>
        <w:jc w:val="both"/>
      </w:pPr>
      <w:r>
        <w:t xml:space="preserve">| Concurso Específico | Definitivo | Puestos con nivel de complemento de destino ≥ 25 | Baremo (Fase I reducida x0,45) + memoria/entrevista (Fase II) |</w:t>
      </w:r>
    </w:p>
    <w:p>
      <w:pPr>
        <w:spacing w:after="120"/>
        <w:jc w:val="both"/>
      </w:pPr>
      <w:r>
        <w:t xml:space="preserve">| Libre Designación | Definitivo | Puestos directivos o de especial responsabilidad señalados en la RPT | Apreciación discrecional motivada, sin baremo cerrado |</w:t>
      </w:r>
    </w:p>
    <w:p>
      <w:pPr>
        <w:spacing w:after="120"/>
        <w:jc w:val="both"/>
      </w:pPr>
      <w:r>
        <w:t xml:space="preserve">| Comisión de Servicios | Provisional (máx. 1 año prorrogable) | Urgente e inaplazable necesidad, mientras se resuelve el procedimiento definitivo | Decisión de Gerencia (voluntaria o forzosa) |</w:t>
      </w:r>
    </w:p>
    <w:p>
      <w:pPr>
        <w:spacing w:after="120"/>
        <w:jc w:val="both"/>
      </w:pPr>
      <w:r>
        <w:t xml:space="preserve">| Reasignación de efectivos | Definitivo/Correctivo | Amortización de puesto o excedente de personal en una unidad | Decisión organizativa |</w:t>
      </w:r>
    </w:p>
    <w:p>
      <w:pPr>
        <w:spacing w:after="120"/>
        <w:jc w:val="both"/>
      </w:pPr>
      <w:r>
        <w:t xml:space="preserve">| Permuta interna | Definitivo | Acuerdo entre dos funcionarios que cumplen requisitos | Solicitud conjunta y autorización |</w:t>
      </w:r>
    </w:p>
    <w:p>
      <w:pPr>
        <w:spacing w:after="120"/>
        <w:jc w:val="both"/>
      </w:pPr>
      <w:r>
        <w:t xml:space="preserve">| Movilidad por salud / violencia de género | Definitivo | Circunstancias personales tasadas | Solicitud motivada y valoración |</w:t>
      </w:r>
    </w:p>
    <w:p>
      <w:pPr>
        <w:pBdr>
          <w:bottom w:val="single" w:color="AAAAAA" w:sz="6" w:space="1"/>
        </w:pBdr>
        <w:spacing w:after="200"/>
      </w:pPr>
    </w:p>
    <w:p>
      <w:pPr>
        <w:pStyle w:val="Heading3"/>
        <w:spacing w:after="100" w:before="200"/>
      </w:pPr>
      <w:r>
        <w:t xml:space="preserve">5. Ejemplos prácticos orientativos</w:t>
      </w:r>
    </w:p>
    <w:p>
      <w:pPr>
        <w:pStyle w:val="ListParagraph"/>
        <w:numPr>
          <w:ilvl w:val="0"/>
          <w:numId w:val="2"/>
        </w:numPr>
        <w:spacing w:after="60"/>
      </w:pPr>
      <w:r>
        <w:t xml:space="preserve">Un puesto de </w:t>
      </w:r>
      <w:r>
        <w:rPr>
          <w:b/>
          <w:bCs/>
        </w:rPr>
        <w:t xml:space="preserve">Auxiliar Administrativo</w:t>
      </w:r>
      <w:r>
        <w:t xml:space="preserve"> (nivel bajo de complemento de destino, muy por debajo de 25) que queda vacante se cubrirá normalmente por </w:t>
      </w:r>
      <w:r>
        <w:rPr>
          <w:b/>
          <w:bCs/>
        </w:rPr>
        <w:t xml:space="preserve">concurso general</w:t>
      </w:r>
      <w:r>
        <w:t xml:space="preserve">: los interesados se autobareman méritos generales y la Comisión de Valoración resuelve por puntuación objetiva.</w:t>
      </w:r>
    </w:p>
    <w:p>
      <w:pPr>
        <w:pStyle w:val="ListParagraph"/>
        <w:numPr>
          <w:ilvl w:val="0"/>
          <w:numId w:val="2"/>
        </w:numPr>
        <w:spacing w:after="60"/>
      </w:pPr>
      <w:r>
        <w:t xml:space="preserve">Un puesto de </w:t>
      </w:r>
      <w:r>
        <w:rPr>
          <w:b/>
          <w:bCs/>
        </w:rPr>
        <w:t xml:space="preserve">Jefatura de Servicio</w:t>
      </w:r>
      <w:r>
        <w:t xml:space="preserve"> (nivel de complemento de destino ≥25) se cubrirá por </w:t>
      </w:r>
      <w:r>
        <w:rPr>
          <w:b/>
          <w:bCs/>
        </w:rPr>
        <w:t xml:space="preserve">concurso específico</w:t>
      </w:r>
      <w:r>
        <w:t xml:space="preserve">: además del baremo general (reducido), habrá que presentar una memoria sobre el puesto y, si el nivel es 27 o superior, superar una entrevista.</w:t>
      </w:r>
    </w:p>
    <w:p>
      <w:pPr>
        <w:pStyle w:val="ListParagraph"/>
        <w:numPr>
          <w:ilvl w:val="0"/>
          <w:numId w:val="2"/>
        </w:numPr>
        <w:spacing w:after="60"/>
      </w:pPr>
      <w:r>
        <w:t xml:space="preserve">Un puesto de </w:t>
      </w:r>
      <w:r>
        <w:rPr>
          <w:b/>
          <w:bCs/>
        </w:rPr>
        <w:t xml:space="preserve">Gerente Adjunto</w:t>
      </w:r>
      <w:r>
        <w:t xml:space="preserve"> o de </w:t>
      </w:r>
      <w:r>
        <w:rPr>
          <w:b/>
          <w:bCs/>
        </w:rPr>
        <w:t xml:space="preserve">Vicegerencia técnica</w:t>
      </w:r>
      <w:r>
        <w:t xml:space="preserve">, calificado en la RPT como puesto de "especial responsabilidad", se cubrirá por </w:t>
      </w:r>
      <w:r>
        <w:rPr>
          <w:b/>
          <w:bCs/>
        </w:rPr>
        <w:t xml:space="preserve">libre designación</w:t>
      </w:r>
      <w:r>
        <w:t xml:space="preserve">: el Rectorado/Gerencia elige directamente, sin baremo, motivando la idoneidad.</w:t>
      </w:r>
    </w:p>
    <w:p>
      <w:pPr>
        <w:pStyle w:val="ListParagraph"/>
        <w:numPr>
          <w:ilvl w:val="0"/>
          <w:numId w:val="2"/>
        </w:numPr>
        <w:spacing w:after="60"/>
      </w:pPr>
      <w:r>
        <w:t xml:space="preserve">Si una unidad necesita cubrir de urgencia una baja prolongada mientras se tramita el concurso correspondiente, puede recurrirse a una </w:t>
      </w:r>
      <w:r>
        <w:rPr>
          <w:b/>
          <w:bCs/>
        </w:rPr>
        <w:t xml:space="preserve">comisión de servicios</w:t>
      </w:r>
      <w:r>
        <w:t xml:space="preserve"> (voluntaria o forzosa) por un plazo máximo de un año prorrogable.</w:t>
      </w:r>
    </w:p>
    <w:p>
      <w:pPr>
        <w:pStyle w:val="ListParagraph"/>
        <w:numPr>
          <w:ilvl w:val="0"/>
          <w:numId w:val="2"/>
        </w:numPr>
        <w:spacing w:after="60"/>
      </w:pPr>
      <w:r>
        <w:t xml:space="preserve">Si se amortiza el puesto de una persona funcionaria por reorganización de una unidad administrativa, esta puede ser reubicada mediante </w:t>
      </w:r>
      <w:r>
        <w:rPr>
          <w:b/>
          <w:bCs/>
        </w:rPr>
        <w:t xml:space="preserve">reasignación de efectivos</w:t>
      </w:r>
      <w:r>
        <w:t xml:space="preserve"> a otro puesto de similares características.</w:t>
      </w:r>
    </w:p>
    <w:p>
      <w:pPr>
        <w:pBdr>
          <w:bottom w:val="single" w:color="AAAAAA" w:sz="6" w:space="1"/>
        </w:pBdr>
        <w:spacing w:after="200"/>
      </w:pPr>
    </w:p>
    <w:p>
      <w:pPr>
        <w:pStyle w:val="Heading3"/>
        <w:spacing w:after="100" w:before="200"/>
      </w:pPr>
      <w:r>
        <w:t xml:space="preserve">6. Ideas clave para memorizar de cara al examen</w:t>
      </w:r>
    </w:p>
    <w:p>
      <w:pPr>
        <w:pStyle w:val="ListParagraph"/>
        <w:numPr>
          <w:ilvl w:val="0"/>
          <w:numId w:val="3"/>
        </w:numPr>
        <w:spacing w:after="60"/>
      </w:pPr>
      <w:r>
        <w:t xml:space="preserve">El </w:t>
      </w:r>
      <w:r>
        <w:rPr>
          <w:b/>
          <w:bCs/>
        </w:rPr>
        <w:t xml:space="preserve">concurso es el sistema normal/ordinario</w:t>
      </w:r>
      <w:r>
        <w:t xml:space="preserve"> de provisión; la </w:t>
      </w:r>
      <w:r>
        <w:rPr>
          <w:b/>
          <w:bCs/>
        </w:rPr>
        <w:t xml:space="preserve">libre designación es la excepción</w:t>
      </w:r>
      <w:r>
        <w:t xml:space="preserve">, solo para puestos directivos/de especial responsabilidad señalados en la RPT.</w:t>
      </w:r>
    </w:p>
    <w:p>
      <w:pPr>
        <w:pStyle w:val="ListParagraph"/>
        <w:numPr>
          <w:ilvl w:val="0"/>
          <w:numId w:val="3"/>
        </w:numPr>
        <w:spacing w:after="60"/>
      </w:pPr>
      <w:r>
        <w:t xml:space="preserve">La frontera entre </w:t>
      </w:r>
      <w:r>
        <w:rPr>
          <w:b/>
          <w:bCs/>
        </w:rPr>
        <w:t xml:space="preserve">concurso general</w:t>
      </w:r>
      <w:r>
        <w:t xml:space="preserve"> (nivel &lt;25) y </w:t>
      </w:r>
      <w:r>
        <w:rPr>
          <w:b/>
          <w:bCs/>
        </w:rPr>
        <w:t xml:space="preserve">concurso específico</w:t>
      </w:r>
      <w:r>
        <w:t xml:space="preserve"> (nivel ≥25) del complemento de destino.</w:t>
      </w:r>
    </w:p>
    <w:p>
      <w:pPr>
        <w:pStyle w:val="ListParagraph"/>
        <w:numPr>
          <w:ilvl w:val="0"/>
          <w:numId w:val="3"/>
        </w:numPr>
        <w:spacing w:after="60"/>
      </w:pPr>
      <w:r>
        <w:t xml:space="preserve">Requisitos temporales de participación: </w:t>
      </w:r>
      <w:r>
        <w:rPr>
          <w:b/>
          <w:bCs/>
        </w:rPr>
        <w:t xml:space="preserve">2 años</w:t>
      </w:r>
      <w:r>
        <w:t xml:space="preserve"> en el puesto para el primer concurso general; </w:t>
      </w:r>
      <w:r>
        <w:rPr>
          <w:b/>
          <w:bCs/>
        </w:rPr>
        <w:t xml:space="preserve">3 años</w:t>
      </w:r>
      <w:r>
        <w:t xml:space="preserve"> tras obtener un puesto por concurso específico para volver a concursar por esa vía.</w:t>
      </w:r>
    </w:p>
    <w:p>
      <w:pPr>
        <w:pStyle w:val="ListParagraph"/>
        <w:numPr>
          <w:ilvl w:val="0"/>
          <w:numId w:val="3"/>
        </w:numPr>
        <w:spacing w:after="60"/>
      </w:pPr>
      <w:r>
        <w:t xml:space="preserve">Baremo de la Fase I: Formación (</w:t>
      </w:r>
      <w:r>
        <w:rPr>
          <w:b/>
          <w:bCs/>
        </w:rPr>
        <w:t xml:space="preserve">35</w:t>
      </w:r>
      <w:r>
        <w:t xml:space="preserve">) &gt; Experiencia/trabajo desarrollado (</w:t>
      </w:r>
      <w:r>
        <w:rPr>
          <w:b/>
          <w:bCs/>
        </w:rPr>
        <w:t xml:space="preserve">30</w:t>
      </w:r>
      <w:r>
        <w:t xml:space="preserve">) &gt; Antigüedad (</w:t>
      </w:r>
      <w:r>
        <w:rPr>
          <w:b/>
          <w:bCs/>
        </w:rPr>
        <w:t xml:space="preserve">20</w:t>
      </w:r>
      <w:r>
        <w:t xml:space="preserve">) &gt; Grado personal (</w:t>
      </w:r>
      <w:r>
        <w:rPr>
          <w:b/>
          <w:bCs/>
        </w:rPr>
        <w:t xml:space="preserve">15</w:t>
      </w:r>
      <w:r>
        <w:t xml:space="preserve">), sobre 100 puntos.</w:t>
      </w:r>
    </w:p>
    <w:p>
      <w:pPr>
        <w:pStyle w:val="ListParagraph"/>
        <w:numPr>
          <w:ilvl w:val="0"/>
          <w:numId w:val="3"/>
        </w:numPr>
        <w:spacing w:after="60"/>
      </w:pPr>
      <w:r>
        <w:t xml:space="preserve">La comisión de servicios es </w:t>
      </w:r>
      <w:r>
        <w:rPr>
          <w:b/>
          <w:bCs/>
        </w:rPr>
        <w:t xml:space="preserve">provisional</w:t>
      </w:r>
      <w:r>
        <w:t xml:space="preserve">, con un máximo de </w:t>
      </w:r>
      <w:r>
        <w:rPr>
          <w:b/>
          <w:bCs/>
        </w:rPr>
        <w:t xml:space="preserve">1 año prorrogable</w:t>
      </w:r>
      <w:r>
        <w:t xml:space="preserve">, y admite modalidad voluntaria y forzosa.</w:t>
      </w:r>
    </w:p>
    <w:p>
      <w:pPr>
        <w:pStyle w:val="ListParagraph"/>
        <w:numPr>
          <w:ilvl w:val="0"/>
          <w:numId w:val="3"/>
        </w:numPr>
        <w:spacing w:after="60"/>
      </w:pPr>
      <w:r>
        <w:t xml:space="preserve">Composición de la </w:t>
      </w:r>
      <w:r>
        <w:rPr>
          <w:b/>
          <w:bCs/>
        </w:rPr>
        <w:t xml:space="preserve">Comisión de Valoración</w:t>
      </w:r>
      <w:r>
        <w:t xml:space="preserve">: Presidencia (Gerente/delegado) + 4 vocales (2 Gerencia + 2 Junta de Personal) + Secretaría (voz sin voto).</w:t>
      </w:r>
    </w:p>
    <w:p>
      <w:pPr>
        <w:pStyle w:val="ListParagraph"/>
        <w:numPr>
          <w:ilvl w:val="0"/>
          <w:numId w:val="3"/>
        </w:numPr>
        <w:spacing w:after="60"/>
      </w:pPr>
      <w:r>
        <w:t xml:space="preserve">Plazos: solicitudes </w:t>
      </w:r>
      <w:r>
        <w:rPr>
          <w:b/>
          <w:bCs/>
        </w:rPr>
        <w:t xml:space="preserve">10 días hábiles</w:t>
      </w:r>
      <w:r>
        <w:t xml:space="preserve"> si se publica en BOJA; reclamaciones a la lista provisional, </w:t>
      </w:r>
      <w:r>
        <w:rPr>
          <w:b/>
          <w:bCs/>
        </w:rPr>
        <w:t xml:space="preserve">5 días hábiles</w:t>
      </w:r>
      <w:r>
        <w:t xml:space="preserve">; resolución del concurso general, </w:t>
      </w:r>
      <w:r>
        <w:rPr>
          <w:b/>
          <w:bCs/>
        </w:rPr>
        <w:t xml:space="preserve">máximo 6 meses</w:t>
      </w:r>
      <w:r>
        <w:t xml:space="preserve">; resolución del concurso específico, </w:t>
      </w:r>
      <w:r>
        <w:rPr>
          <w:b/>
          <w:bCs/>
        </w:rPr>
        <w:t xml:space="preserve">1 mes, ampliable a 4</w:t>
      </w:r>
      <w:r>
        <w:t xml:space="preserve">.</w:t>
      </w:r>
    </w:p>
    <w:p>
      <w:pPr>
        <w:pStyle w:val="ListParagraph"/>
        <w:numPr>
          <w:ilvl w:val="0"/>
          <w:numId w:val="3"/>
        </w:numPr>
        <w:spacing w:after="60"/>
      </w:pPr>
      <w:r>
        <w:t xml:space="preserve">Criterios de desempate: en concurso general, grupo/subgrupo superior → antigüedad en subgrupo → número de orden en el proceso selectivo; en concurso específico, puntuación de la Fase II → puntuación de la memoria.</w:t>
      </w:r>
    </w:p>
    <w:p>
      <w:pPr>
        <w:pStyle w:val="ListParagraph"/>
        <w:numPr>
          <w:ilvl w:val="0"/>
          <w:numId w:val="3"/>
        </w:numPr>
        <w:spacing w:after="60"/>
      </w:pPr>
      <w:r>
        <w:t xml:space="preserve">El Rector aprueba las adjudicaciones y resuelve recursos; Gerencia convoca y gestiona; la Junta de Personal participa proponiendo vocales.</w:t>
      </w:r>
    </w:p>
    <w:p>
      <w:pPr>
        <w:pStyle w:val="ListParagraph"/>
        <w:numPr>
          <w:ilvl w:val="0"/>
          <w:numId w:val="3"/>
        </w:numPr>
        <w:spacing w:after="60"/>
      </w:pPr>
      <w:r>
        <w:t xml:space="preserve">Existen otros procedimientos definitivos (reasignación de efectivos, permuta interna, movilidad por salud o por violencia de género) cuyo desarrollo exacto conviene repasar en el texto íntegro del Reglamento antes del examen, especialmente el </w:t>
      </w:r>
      <w:r>
        <w:rPr>
          <w:b/>
          <w:bCs/>
        </w:rPr>
        <w:t xml:space="preserve">reingreso al servicio activo</w:t>
      </w:r>
      <w:r>
        <w:t xml:space="preserve">, cuyo detalle articulado no se ha podido verificar con precisión en esta revisión.</w:t>
      </w:r>
    </w:p>
    <w:p>
      <w:pPr>
        <w:pBdr>
          <w:bottom w:val="single" w:color="AAAAAA" w:sz="6" w:space="1"/>
        </w:pBd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800" w:hanging="200"/>
      </w:pPr>
    </w:lvl>
  </w:abstractNum>
  <w:abstractNum w:abstractNumId="3" w15:restartNumberingAfterBreak="0">
    <w:multiLevelType w:val="hybridMultilevel"/>
    <w:lvl w:ilvl="0" w15:tentative="1">
      <w:start w:val="1"/>
      <w:numFmt w:val="decimal"/>
      <w:lvlText w:val="%1."/>
      <w:lvlJc w:val="left"/>
      <w:pPr>
        <w:ind w:left="40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2026-08-16T11:40:37.058Z</dcterms:created>
  <dcterms:modified xsi:type="dcterms:W3CDTF">2026-08-16T11:40:37.059Z</dcterms:modified>
</cp:coreProperties>
</file>

<file path=docProps/custom.xml><?xml version="1.0" encoding="utf-8"?>
<Properties xmlns="http://schemas.openxmlformats.org/officeDocument/2006/custom-properties" xmlns:vt="http://schemas.openxmlformats.org/officeDocument/2006/docPropsVTypes"/>
</file>