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15. Reglamento de Cartas de Servicio UAL</w:t>
      </w:r>
    </w:p>
    <w:p>
      <w:pPr>
        <w:pStyle w:val="Heading3"/>
        <w:spacing w:after="100" w:before="200"/>
      </w:pPr>
      <w:r>
        <w:t xml:space="preserve">Nota metodológica sobre las fuentes</w:t>
      </w:r>
    </w:p>
    <w:p>
      <w:pPr>
        <w:spacing w:after="120"/>
        <w:jc w:val="both"/>
      </w:pPr>
      <w:r>
        <w:t xml:space="preserve">Este resumen se basa en el texto verificado del </w:t>
      </w:r>
      <w:r>
        <w:rPr>
          <w:b/>
          <w:bCs/>
        </w:rPr>
        <w:t xml:space="preserve">Reglamento de Cartas de Servicios de la Universidad de Almería</w:t>
      </w:r>
      <w:r>
        <w:t xml:space="preserve">, aprobado por el </w:t>
      </w:r>
      <w:r>
        <w:rPr>
          <w:b/>
          <w:bCs/>
        </w:rPr>
        <w:t xml:space="preserve">Consejo de Gobierno el 3 de mayo de 2019</w:t>
      </w:r>
      <w:r>
        <w:t xml:space="preserve">, localizado en el PDF oficial publicado por la UAL (`spec_reglamento_cartas_de_servicios_2019.pdf`, accesible desde `ual.es`). Se ha obtenido y contrastado la transcripción literal de los 10 artículos y de las tres disposiciones (adicional, transitoria y final) mediante consulta directa a ese documento. Todo lo que a continuación se presenta como contenido articulado (art. 1 a art. 10, disposiciones) procede de ese texto. Cuando se incluye contexto general sobre qué son las Cartas de Servicio en la Administración Pública española (un concepto común a toda la Administración, no exclusivo de la UAL), se señala expresamente como "contexto general" y no debe confundirse con un artículo concreto del Reglamento UAL. No se ha inventado ningún dato normativo concreto (fechas, números de artículo, nombres de órganos): todos proceden del texto fetched del PDF oficial.</w:t>
      </w:r>
    </w:p>
    <w:p>
      <w:pPr>
        <w:pBdr>
          <w:bottom w:val="single" w:color="AAAAAA" w:sz="6" w:space="1"/>
        </w:pBdr>
        <w:spacing w:after="200"/>
      </w:pPr>
    </w:p>
    <w:p>
      <w:pPr>
        <w:pStyle w:val="Heading3"/>
        <w:spacing w:after="100" w:before="200"/>
      </w:pPr>
      <w:r>
        <w:t xml:space="preserve">1. Qué es una Carta de Servicios: concepto y finalidad</w:t>
      </w:r>
    </w:p>
    <w:p>
      <w:pPr>
        <w:spacing w:after="120"/>
        <w:jc w:val="both"/>
      </w:pPr>
      <w:r>
        <w:t xml:space="preserve">Una Carta de Servicios es, en la Administración Pública española en general, un documento mediante el cual un organismo público informa a la ciudadanía sobre los servicios que presta, las condiciones en que los presta y los compromisos de calidad que asume frente a los usuarios. Es un instrumento de </w:t>
      </w:r>
      <w:r>
        <w:rPr>
          <w:b/>
          <w:bCs/>
        </w:rPr>
        <w:t xml:space="preserve">transparencia</w:t>
      </w:r>
      <w:r>
        <w:t xml:space="preserve"> (el ciudadano sabe qué puede esperar del servicio) y de </w:t>
      </w:r>
      <w:r>
        <w:rPr>
          <w:b/>
          <w:bCs/>
        </w:rPr>
        <w:t xml:space="preserve">gestión de la calidad</w:t>
      </w:r>
      <w:r>
        <w:t xml:space="preserve"> (el propio organismo se autoimpone estándares medibles y se compromete públicamente a cumplirlos).</w:t>
      </w:r>
    </w:p>
    <w:p>
      <w:pPr>
        <w:spacing w:after="120"/>
        <w:jc w:val="both"/>
      </w:pPr>
      <w:r>
        <w:t xml:space="preserve">En el ámbito universitario, y de forma específica en la UAL, el </w:t>
      </w:r>
      <w:r>
        <w:rPr>
          <w:b/>
          <w:bCs/>
        </w:rPr>
        <w:t xml:space="preserve">artículo 3</w:t>
      </w:r>
      <w:r>
        <w:t xml:space="preserve"> del Reglamento (Definición) establece:</w:t>
      </w:r>
    </w:p>
    <w:p>
      <w:pPr>
        <w:spacing w:after="120"/>
        <w:jc w:val="both"/>
      </w:pPr>
      <w:r>
        <w:t xml:space="preserve">&gt; "A los efectos de este Reglamento, las Cartas de Servicios son documentos que tienen por objeto informar al usuario sobre los servicios públicos que gestiona la Universidad de Almería, las condiciones en que se prestan, los derechos de los ciudadanos en relación con estos servicios y los compromisos de calidad que se ofrecen en relación con su prestación."</w:t>
      </w:r>
    </w:p>
    <w:p>
      <w:pPr>
        <w:spacing w:after="120"/>
        <w:jc w:val="both"/>
      </w:pPr>
      <w:r>
        <w:t xml:space="preserve">De esta definición se extraen </w:t>
      </w:r>
      <w:r>
        <w:rPr>
          <w:b/>
          <w:bCs/>
        </w:rPr>
        <w:t xml:space="preserve">cuatro elementos</w:t>
      </w:r>
      <w:r>
        <w:t xml:space="preserve"> que toda Carta de Servicios debe comunicar:</w:t>
      </w:r>
    </w:p>
    <w:p>
      <w:pPr>
        <w:pStyle w:val="ListParagraph"/>
        <w:numPr>
          <w:ilvl w:val="0"/>
          <w:numId w:val="2"/>
        </w:numPr>
        <w:spacing w:after="60"/>
      </w:pPr>
      <w:r>
        <w:t xml:space="preserve">Los </w:t>
      </w:r>
      <w:r>
        <w:rPr>
          <w:b/>
          <w:bCs/>
        </w:rPr>
        <w:t xml:space="preserve">servicios públicos</w:t>
      </w:r>
      <w:r>
        <w:t xml:space="preserve"> que gestiona la unidad o centro.</w:t>
      </w:r>
    </w:p>
    <w:p>
      <w:pPr>
        <w:pStyle w:val="ListParagraph"/>
        <w:numPr>
          <w:ilvl w:val="0"/>
          <w:numId w:val="2"/>
        </w:numPr>
        <w:spacing w:after="60"/>
      </w:pPr>
      <w:r>
        <w:t xml:space="preserve">Las </w:t>
      </w:r>
      <w:r>
        <w:rPr>
          <w:b/>
          <w:bCs/>
        </w:rPr>
        <w:t xml:space="preserve">condiciones</w:t>
      </w:r>
      <w:r>
        <w:t xml:space="preserve"> en que se prestan esos servicios.</w:t>
      </w:r>
    </w:p>
    <w:p>
      <w:pPr>
        <w:pStyle w:val="ListParagraph"/>
        <w:numPr>
          <w:ilvl w:val="0"/>
          <w:numId w:val="2"/>
        </w:numPr>
        <w:spacing w:after="60"/>
      </w:pPr>
      <w:r>
        <w:t xml:space="preserve">Los </w:t>
      </w:r>
      <w:r>
        <w:rPr>
          <w:b/>
          <w:bCs/>
        </w:rPr>
        <w:t xml:space="preserve">derechos de los ciudadanos</w:t>
      </w:r>
      <w:r>
        <w:t xml:space="preserve"> en relación con esos servicios.</w:t>
      </w:r>
    </w:p>
    <w:p>
      <w:pPr>
        <w:pStyle w:val="ListParagraph"/>
        <w:numPr>
          <w:ilvl w:val="0"/>
          <w:numId w:val="2"/>
        </w:numPr>
        <w:spacing w:after="60"/>
      </w:pPr>
      <w:r>
        <w:t xml:space="preserve">Los </w:t>
      </w:r>
      <w:r>
        <w:rPr>
          <w:b/>
          <w:bCs/>
        </w:rPr>
        <w:t xml:space="preserve">compromisos de calidad</w:t>
      </w:r>
      <w:r>
        <w:t xml:space="preserve"> que se ofrecen.</w:t>
      </w:r>
    </w:p>
    <w:p>
      <w:pPr>
        <w:spacing w:after="120"/>
        <w:jc w:val="both"/>
      </w:pPr>
      <w:r>
        <w:t xml:space="preserve">⚠️ </w:t>
      </w:r>
      <w:r>
        <w:rPr>
          <w:b/>
          <w:bCs/>
        </w:rPr>
        <w:t xml:space="preserve">MUY PREGUNTADO EN EXAMEN</w:t>
      </w:r>
      <w:r>
        <w:t xml:space="preserve">: memorizar estos cuatro elementos de la definición del artículo 3, ya que es una pregunta clásica de "completar la definición" o "identificar qué NO forma parte de la definición".</w:t>
      </w:r>
    </w:p>
    <w:p>
      <w:pPr>
        <w:pStyle w:val="Heading3"/>
        <w:spacing w:after="100" w:before="200"/>
      </w:pPr>
      <w:r>
        <w:t xml:space="preserve">2. Objeto y ámbito de aplicación del Reglamento (arts. 1 y 2)</w:t>
      </w:r>
    </w:p>
    <w:p>
      <w:pPr>
        <w:spacing w:after="120"/>
        <w:jc w:val="both"/>
      </w:pPr>
      <w:r>
        <w:t xml:space="preserve">El </w:t>
      </w:r>
      <w:r>
        <w:rPr>
          <w:b/>
          <w:bCs/>
        </w:rPr>
        <w:t xml:space="preserve">artículo 1 (Objeto)</w:t>
      </w:r>
      <w:r>
        <w:t xml:space="preserve"> dice textualmente que el Reglamento tiene por objeto:</w:t>
      </w:r>
    </w:p>
    <w:p>
      <w:pPr>
        <w:spacing w:after="120"/>
        <w:jc w:val="both"/>
      </w:pPr>
      <w:r>
        <w:t xml:space="preserve">&gt; "regular los procesos de elaboración, aprobación, publicación, seguimiento y evaluación de las Cartas de Servicios de la Universidad de Almería, así como establecer su estructura y contenido."</w:t>
      </w:r>
    </w:p>
    <w:p>
      <w:pPr>
        <w:spacing w:after="120"/>
        <w:jc w:val="both"/>
      </w:pPr>
      <w:r>
        <w:t xml:space="preserve">Es decir, regula </w:t>
      </w:r>
      <w:r>
        <w:rPr>
          <w:b/>
          <w:bCs/>
        </w:rPr>
        <w:t xml:space="preserve">cinco procesos</w:t>
      </w:r>
      <w:r>
        <w:t xml:space="preserve"> (elaboración, aprobación, publicación, seguimiento, evaluación) </w:t>
      </w:r>
      <w:r>
        <w:rPr>
          <w:b/>
          <w:bCs/>
        </w:rPr>
        <w:t xml:space="preserve">más</w:t>
      </w:r>
      <w:r>
        <w:t xml:space="preserve"> la estructura y el contenido de las propias Cartas.</w:t>
      </w:r>
    </w:p>
    <w:p>
      <w:pPr>
        <w:spacing w:after="120"/>
        <w:jc w:val="both"/>
      </w:pPr>
      <w:r>
        <w:t xml:space="preserve">El </w:t>
      </w:r>
      <w:r>
        <w:rPr>
          <w:b/>
          <w:bCs/>
        </w:rPr>
        <w:t xml:space="preserve">artículo 2 (Ámbito de aplicación)</w:t>
      </w:r>
      <w:r>
        <w:t xml:space="preserve"> delimita a qué estructuras de la UAL se aplica el Reglamento, remitiéndose a dos instrumentos externos:</w:t>
      </w:r>
    </w:p>
    <w:p>
      <w:pPr>
        <w:pStyle w:val="ListParagraph"/>
        <w:numPr>
          <w:ilvl w:val="0"/>
          <w:numId w:val="3"/>
        </w:numPr>
        <w:spacing w:after="60"/>
      </w:pPr>
      <w:r>
        <w:t xml:space="preserve">El </w:t>
      </w:r>
      <w:r>
        <w:rPr>
          <w:b/>
          <w:bCs/>
        </w:rPr>
        <w:t xml:space="preserve">Título VI de los Estatutos de la UAL</w:t>
      </w:r>
      <w:r>
        <w:t xml:space="preserve"> ("Estructura de la Universidad"), en concreto su </w:t>
      </w:r>
      <w:r>
        <w:rPr>
          <w:b/>
          <w:bCs/>
        </w:rPr>
        <w:t xml:space="preserve">artículo 100</w:t>
      </w:r>
      <w:r>
        <w:t xml:space="preserve">.</w:t>
      </w:r>
    </w:p>
    <w:p>
      <w:pPr>
        <w:pStyle w:val="ListParagraph"/>
        <w:numPr>
          <w:ilvl w:val="0"/>
          <w:numId w:val="3"/>
        </w:numPr>
        <w:spacing w:after="60"/>
      </w:pPr>
      <w:r>
        <w:t xml:space="preserve">La </w:t>
      </w:r>
      <w:r>
        <w:rPr>
          <w:b/>
          <w:bCs/>
        </w:rPr>
        <w:t xml:space="preserve">Relación de Puestos de Trabajo (RPT)</w:t>
      </w:r>
      <w:r>
        <w:t xml:space="preserve"> del Personal de Administración y Servicios en vigor.</w:t>
      </w:r>
    </w:p>
    <w:p>
      <w:pPr>
        <w:pStyle w:val="ListParagraph"/>
        <w:numPr>
          <w:ilvl w:val="0"/>
          <w:numId w:val="3"/>
        </w:numPr>
        <w:spacing w:after="60"/>
      </w:pPr>
      <w:r>
        <w:t xml:space="preserve">Y, de forma abierta, "cualquier otra estructura que se pueda derivar de los compromisos adquiridos por la Universidad de Almería".</w:t>
      </w:r>
    </w:p>
    <w:p>
      <w:pPr>
        <w:spacing w:after="120"/>
        <w:jc w:val="both"/>
      </w:pPr>
      <w:r>
        <w:t xml:space="preserve">Este artículo 2 es técnicamente denso (remite a normas externas) y suele generar preguntas de detalle sobre el número de artículo de los Estatutos citado (art. 100) y el nombre del título (Título VI).</w:t>
      </w:r>
    </w:p>
    <w:p>
      <w:pPr>
        <w:pStyle w:val="Heading3"/>
        <w:spacing w:after="100" w:before="200"/>
      </w:pPr>
      <w:r>
        <w:t xml:space="preserve">3. Contenido de las Cartas de Servicios (art. 4): qué debe figurar</w:t>
      </w:r>
    </w:p>
    <w:p>
      <w:pPr>
        <w:spacing w:after="120"/>
        <w:jc w:val="both"/>
      </w:pPr>
      <w:r>
        <w:t xml:space="preserve">El </w:t>
      </w:r>
      <w:r>
        <w:rPr>
          <w:b/>
          <w:bCs/>
        </w:rPr>
        <w:t xml:space="preserve">artículo 4 (Estructura y contenido)</w:t>
      </w:r>
      <w:r>
        <w:t xml:space="preserve"> es, con diferencia, el más denso y el más "preguntable" del Reglamento, porque enumera de forma detallada todo lo que debe contener una Carta de Servicios. Primero fija una exigencia de forma: las Cartas deben redactarse "de forma breve, clara, sencilla y comprensible para los ciudadanos". Después estructura el contenido en </w:t>
      </w:r>
      <w:r>
        <w:rPr>
          <w:b/>
          <w:bCs/>
        </w:rPr>
        <w:t xml:space="preserve">tres bloques</w:t>
      </w:r>
      <w:r>
        <w:t xml:space="preserve">:</w:t>
      </w:r>
    </w:p>
    <w:p>
      <w:pPr>
        <w:spacing w:after="120"/>
        <w:jc w:val="both"/>
      </w:pPr>
      <w:r>
        <w:rPr>
          <w:b/>
          <w:bCs/>
        </w:rPr>
        <w:t xml:space="preserve">1º Contenido de carácter general:</w:t>
      </w:r>
    </w:p>
    <w:p>
      <w:pPr>
        <w:pStyle w:val="ListParagraph"/>
        <w:numPr>
          <w:ilvl w:val="0"/>
          <w:numId w:val="3"/>
        </w:numPr>
        <w:spacing w:after="60"/>
      </w:pPr>
      <w:r>
        <w:t xml:space="preserve">Datos de identificación del centro, unidad o estructura responsable de la Carta.</w:t>
      </w:r>
    </w:p>
    <w:p>
      <w:pPr>
        <w:pStyle w:val="ListParagraph"/>
        <w:numPr>
          <w:ilvl w:val="0"/>
          <w:numId w:val="3"/>
        </w:numPr>
        <w:spacing w:after="60"/>
      </w:pPr>
      <w:r>
        <w:t xml:space="preserve">Servicios que presta.</w:t>
      </w:r>
    </w:p>
    <w:p>
      <w:pPr>
        <w:pStyle w:val="ListParagraph"/>
        <w:numPr>
          <w:ilvl w:val="0"/>
          <w:numId w:val="3"/>
        </w:numPr>
        <w:spacing w:after="60"/>
      </w:pPr>
      <w:r>
        <w:t xml:space="preserve">Formas de colaboración o participación de ciudadanos y usuarios en la mejora de los servicios.</w:t>
      </w:r>
    </w:p>
    <w:p>
      <w:pPr>
        <w:pStyle w:val="ListParagraph"/>
        <w:numPr>
          <w:ilvl w:val="0"/>
          <w:numId w:val="3"/>
        </w:numPr>
        <w:spacing w:after="60"/>
      </w:pPr>
      <w:r>
        <w:t xml:space="preserve">Relación actualizada de las normas reguladoras de cada prestación/servicio.</w:t>
      </w:r>
    </w:p>
    <w:p>
      <w:pPr>
        <w:pStyle w:val="ListParagraph"/>
        <w:numPr>
          <w:ilvl w:val="0"/>
          <w:numId w:val="3"/>
        </w:numPr>
        <w:spacing w:after="60"/>
      </w:pPr>
      <w:r>
        <w:t xml:space="preserve">Derechos concretos de los ciudadanos y usuarios.</w:t>
      </w:r>
    </w:p>
    <w:p>
      <w:pPr>
        <w:pStyle w:val="ListParagraph"/>
        <w:numPr>
          <w:ilvl w:val="0"/>
          <w:numId w:val="3"/>
        </w:numPr>
        <w:spacing w:after="60"/>
      </w:pPr>
      <w:r>
        <w:t xml:space="preserve">Disponibilidad y acceso al </w:t>
      </w:r>
      <w:r>
        <w:rPr>
          <w:b/>
          <w:bCs/>
        </w:rPr>
        <w:t xml:space="preserve">sistema de quejas y sugerencias</w:t>
      </w:r>
      <w:r>
        <w:t xml:space="preserve"> de la UAL: formas de presentación, plazos de contestación y efectos.</w:t>
      </w:r>
    </w:p>
    <w:p>
      <w:pPr>
        <w:pStyle w:val="ListParagraph"/>
        <w:numPr>
          <w:ilvl w:val="0"/>
          <w:numId w:val="3"/>
        </w:numPr>
        <w:spacing w:after="60"/>
      </w:pPr>
      <w:r>
        <w:t xml:space="preserve">Direcciones postales, telefónicas y telemáticas de todas las oficinas, indicando la forma de acceso.</w:t>
      </w:r>
    </w:p>
    <w:p>
      <w:pPr>
        <w:spacing w:after="120"/>
        <w:jc w:val="both"/>
      </w:pPr>
      <w:r>
        <w:rPr>
          <w:b/>
          <w:bCs/>
        </w:rPr>
        <w:t xml:space="preserve">2º Contenido derivado de compromisos de calidad y de la normativa aplicable</w:t>
      </w:r>
      <w:r>
        <w:t xml:space="preserve"> (los "estándares de calidad" propiamente dichos):</w:t>
      </w:r>
    </w:p>
    <w:p>
      <w:pPr>
        <w:pStyle w:val="ListParagraph"/>
        <w:numPr>
          <w:ilvl w:val="0"/>
          <w:numId w:val="3"/>
        </w:numPr>
        <w:spacing w:after="60"/>
      </w:pPr>
      <w:r>
        <w:t xml:space="preserve">Determinación explícita de niveles o estándares de calidad: plazos de tramitación de procedimientos, mecanismos de información y comunicación, tramitación electrónica (en su caso), horario de atención al público, y cualesquiera otros relevantes.</w:t>
      </w:r>
    </w:p>
    <w:p>
      <w:pPr>
        <w:pStyle w:val="ListParagraph"/>
        <w:numPr>
          <w:ilvl w:val="0"/>
          <w:numId w:val="3"/>
        </w:numPr>
        <w:spacing w:after="60"/>
      </w:pPr>
      <w:r>
        <w:t xml:space="preserve">Indicaciones que faciliten el acceso al servicio y mejoren las condiciones de prestación.</w:t>
      </w:r>
    </w:p>
    <w:p>
      <w:pPr>
        <w:pStyle w:val="ListParagraph"/>
        <w:numPr>
          <w:ilvl w:val="0"/>
          <w:numId w:val="3"/>
        </w:numPr>
        <w:spacing w:after="60"/>
      </w:pPr>
      <w:r>
        <w:t xml:space="preserve">Sistemas de gestión de la calidad, gestión ambiental y gestión de riesgos laborales, si existen.</w:t>
      </w:r>
    </w:p>
    <w:p>
      <w:pPr>
        <w:pStyle w:val="ListParagraph"/>
        <w:numPr>
          <w:ilvl w:val="0"/>
          <w:numId w:val="3"/>
        </w:numPr>
        <w:spacing w:after="60"/>
      </w:pPr>
      <w:r>
        <w:t xml:space="preserve">Indicadores de referencia para la evaluación de la calidad.</w:t>
      </w:r>
    </w:p>
    <w:p>
      <w:pPr>
        <w:pStyle w:val="ListParagraph"/>
        <w:numPr>
          <w:ilvl w:val="0"/>
          <w:numId w:val="3"/>
        </w:numPr>
        <w:spacing w:after="60"/>
      </w:pPr>
      <w:r>
        <w:t xml:space="preserve">Referencia a otras informaciones divulgativas sobre los servicios.</w:t>
      </w:r>
    </w:p>
    <w:p>
      <w:pPr>
        <w:spacing w:after="120"/>
        <w:jc w:val="both"/>
      </w:pPr>
      <w:r>
        <w:rPr>
          <w:b/>
          <w:bCs/>
        </w:rPr>
        <w:t xml:space="preserve">3º Contenido de carácter complementario:</w:t>
      </w:r>
      <w:r>
        <w:t xml:space="preserve"> otros datos de interés sobre los servicios prestados (cláusula abierta).</w:t>
      </w:r>
    </w:p>
    <w:p>
      <w:pPr>
        <w:spacing w:after="120"/>
        <w:jc w:val="both"/>
      </w:pPr>
      <w:r>
        <w:t xml:space="preserve">⚠️ </w:t>
      </w:r>
      <w:r>
        <w:rPr>
          <w:b/>
          <w:bCs/>
        </w:rPr>
        <w:t xml:space="preserve">MUY PREGUNTADO EN EXAMEN</w:t>
      </w:r>
      <w:r>
        <w:t xml:space="preserve">: distinguir qué elementos van en el bloque 1º (información identificativa, de acceso y de derechos) frente al bloque 2º (estándares de calidad concretos: plazos, horarios, indicadores). Es habitual que el examinador pida ubicar un elemento concreto (p. ej. "plazos de tramitación") en el bloque correcto (2º).</w:t>
      </w:r>
    </w:p>
    <w:p>
      <w:pPr>
        <w:pStyle w:val="Heading3"/>
        <w:spacing w:after="100" w:before="200"/>
      </w:pPr>
      <w:r>
        <w:t xml:space="preserve">4. Elaboración de las Cartas de Servicios (art. 5): quién hace qué</w:t>
      </w:r>
    </w:p>
    <w:p>
      <w:pPr>
        <w:spacing w:after="120"/>
        <w:jc w:val="both"/>
      </w:pPr>
      <w:r>
        <w:t xml:space="preserve">El procedimiento de elaboración implica varios actores con funciones muy delimitadas, y es uno de los puntos más preguntados por su complejidad procedimental:</w:t>
      </w:r>
    </w:p>
    <w:p>
      <w:pPr>
        <w:pStyle w:val="ListParagraph"/>
        <w:numPr>
          <w:ilvl w:val="0"/>
          <w:numId w:val="2"/>
        </w:numPr>
        <w:spacing w:after="60"/>
      </w:pPr>
      <w:r>
        <w:t xml:space="preserve">La </w:t>
      </w:r>
      <w:r>
        <w:rPr>
          <w:b/>
          <w:bCs/>
        </w:rPr>
        <w:t xml:space="preserve">Dirección General de Calidad o Vicerrectorado competente en materia de Calidad</w:t>
      </w:r>
      <w:r>
        <w:t xml:space="preserve"> decide </w:t>
      </w:r>
      <w:r>
        <w:rPr>
          <w:b/>
          <w:bCs/>
        </w:rPr>
        <w:t xml:space="preserve">qué</w:t>
      </w:r>
      <w:r>
        <w:t xml:space="preserve"> centros o unidades deben elaborar Carta de Servicios, atendiendo a la especialidad y magnitud de los servicios, su impacto social y su autonomía o singularidad (art. 5.1).</w:t>
      </w:r>
    </w:p>
    <w:p>
      <w:pPr>
        <w:pStyle w:val="ListParagraph"/>
        <w:numPr>
          <w:ilvl w:val="0"/>
          <w:numId w:val="2"/>
        </w:numPr>
        <w:spacing w:after="60"/>
      </w:pPr>
      <w:r>
        <w:t xml:space="preserve">El </w:t>
      </w:r>
      <w:r>
        <w:rPr>
          <w:b/>
          <w:bCs/>
        </w:rPr>
        <w:t xml:space="preserve">titular</w:t>
      </w:r>
      <w:r>
        <w:t xml:space="preserve"> del centro o unidad es responsable de </w:t>
      </w:r>
      <w:r>
        <w:rPr>
          <w:b/>
          <w:bCs/>
        </w:rPr>
        <w:t xml:space="preserve">impulsar</w:t>
      </w:r>
      <w:r>
        <w:t xml:space="preserve"> la elaboración y de su </w:t>
      </w:r>
      <w:r>
        <w:rPr>
          <w:b/>
          <w:bCs/>
        </w:rPr>
        <w:t xml:space="preserve">seguimiento</w:t>
      </w:r>
      <w:r>
        <w:t xml:space="preserve"> (art. 5.2).</w:t>
      </w:r>
    </w:p>
    <w:p>
      <w:pPr>
        <w:pStyle w:val="ListParagraph"/>
        <w:numPr>
          <w:ilvl w:val="0"/>
          <w:numId w:val="2"/>
        </w:numPr>
        <w:spacing w:after="60"/>
      </w:pPr>
      <w:r>
        <w:t xml:space="preserve">Se constituye un </w:t>
      </w:r>
      <w:r>
        <w:rPr>
          <w:b/>
          <w:bCs/>
        </w:rPr>
        <w:t xml:space="preserve">equipo de trabajo</w:t>
      </w:r>
      <w:r>
        <w:t xml:space="preserve"> que redacta el borrador. En el caso de los Centros de la UAL, ese equipo es, específicamente, la </w:t>
      </w:r>
      <w:r>
        <w:rPr>
          <w:b/>
          <w:bCs/>
        </w:rPr>
        <w:t xml:space="preserve">Comisión de Calidad del Centro</w:t>
      </w:r>
      <w:r>
        <w:t xml:space="preserve"> (art. 5.3). Sus tareas: identificar y redactar los servicios, establecer compromisos de calidad, asociar indicadores y elaborar el borrador.</w:t>
      </w:r>
    </w:p>
    <w:p>
      <w:pPr>
        <w:pStyle w:val="ListParagraph"/>
        <w:numPr>
          <w:ilvl w:val="0"/>
          <w:numId w:val="2"/>
        </w:numPr>
        <w:spacing w:after="60"/>
      </w:pPr>
      <w:r>
        <w:t xml:space="preserve">El </w:t>
      </w:r>
      <w:r>
        <w:rPr>
          <w:b/>
          <w:bCs/>
        </w:rPr>
        <w:t xml:space="preserve">Servicio de Planificación, Evaluación y Calidad</w:t>
      </w:r>
      <w:r>
        <w:t xml:space="preserve"> presta colaboración técnica a lo largo de todo el proceso (art. 5.4).</w:t>
      </w:r>
    </w:p>
    <w:p>
      <w:pPr>
        <w:pStyle w:val="ListParagraph"/>
        <w:numPr>
          <w:ilvl w:val="0"/>
          <w:numId w:val="2"/>
        </w:numPr>
        <w:spacing w:after="60"/>
      </w:pPr>
      <w:r>
        <w:t xml:space="preserve">Las propuestas se remiten a ese mismo Servicio, que emite un </w:t>
      </w:r>
      <w:r>
        <w:rPr>
          <w:b/>
          <w:bCs/>
        </w:rPr>
        <w:t xml:space="preserve">informe técnico</w:t>
      </w:r>
      <w:r>
        <w:t xml:space="preserve"> y las eleva a la Dirección General de Calidad/Vicerrectorado competente para su "consideración y visto bueno" (art. 5.5), paso previo a la aprobación formal.</w:t>
      </w:r>
    </w:p>
    <w:p>
      <w:pPr>
        <w:spacing w:after="120"/>
        <w:jc w:val="both"/>
      </w:pPr>
      <w:r>
        <w:t xml:space="preserve">⚠️ </w:t>
      </w:r>
      <w:r>
        <w:rPr>
          <w:b/>
          <w:bCs/>
        </w:rPr>
        <w:t xml:space="preserve">MUY PREGUNTADO EN EXAMEN</w:t>
      </w:r>
      <w:r>
        <w:t xml:space="preserve">: el circuito completo "Comisión de Calidad del Centro (redacta) → Servicio de Planificación, Evaluación y Calidad (informe técnico) → Dirección General de Calidad/Vicerrectorado competente (visto bueno) → Consejo de Gobierno (aprobación)".</w:t>
      </w:r>
    </w:p>
    <w:p>
      <w:pPr>
        <w:pStyle w:val="Heading3"/>
        <w:spacing w:after="100" w:before="200"/>
      </w:pPr>
      <w:r>
        <w:t xml:space="preserve">5. Aprobación y publicación (art. 6): el órgano clave</w:t>
      </w:r>
    </w:p>
    <w:p>
      <w:pPr>
        <w:spacing w:after="120"/>
        <w:jc w:val="both"/>
      </w:pPr>
      <w:r>
        <w:t xml:space="preserve">El </w:t>
      </w:r>
      <w:r>
        <w:rPr>
          <w:b/>
          <w:bCs/>
        </w:rPr>
        <w:t xml:space="preserve">artículo 6</w:t>
      </w:r>
      <w:r>
        <w:t xml:space="preserve"> es central: fija que las Cartas de Servicios </w:t>
      </w:r>
      <w:r>
        <w:rPr>
          <w:b/>
          <w:bCs/>
        </w:rPr>
        <w:t xml:space="preserve">se aprueban por acuerdo del Consejo de Gobierno</w:t>
      </w:r>
      <w:r>
        <w:t xml:space="preserve">, a propuesta de la Dirección General de Calidad o Vicerrectorado competente en materia de Calidad, y </w:t>
      </w:r>
      <w:r>
        <w:rPr>
          <w:b/>
          <w:bCs/>
        </w:rPr>
        <w:t xml:space="preserve">previo informe favorable</w:t>
      </w:r>
      <w:r>
        <w:t xml:space="preserve"> del Servicio de Planificación, Evaluación y Calidad. La Carta </w:t>
      </w:r>
      <w:r>
        <w:rPr>
          <w:b/>
          <w:bCs/>
        </w:rPr>
        <w:t xml:space="preserve">surte plenos efectos a partir de la publicación</w:t>
      </w:r>
      <w:r>
        <w:t xml:space="preserve"> de ese acuerdo (no desde su mera aprobación en sesión).</w:t>
      </w:r>
    </w:p>
    <w:p>
      <w:pPr>
        <w:spacing w:after="120"/>
        <w:jc w:val="both"/>
      </w:pPr>
      <w:r>
        <w:t xml:space="preserve">⚠️ </w:t>
      </w:r>
      <w:r>
        <w:rPr>
          <w:b/>
          <w:bCs/>
        </w:rPr>
        <w:t xml:space="preserve">MUY PREGUNTADO EN EXAMEN</w:t>
      </w:r>
      <w:r>
        <w:t xml:space="preserve">: "¿qué órgano aprueba las Cartas de Servicios de la UAL?" → </w:t>
      </w:r>
      <w:r>
        <w:rPr>
          <w:b/>
          <w:bCs/>
        </w:rPr>
        <w:t xml:space="preserve">Consejo de Gobierno</w:t>
      </w:r>
      <w:r>
        <w:t xml:space="preserve">. Es probablemente la pregunta más repetida de todo el tema, junto con "¿desde cuándo produce efectos?" → desde la </w:t>
      </w:r>
      <w:r>
        <w:rPr>
          <w:b/>
          <w:bCs/>
        </w:rPr>
        <w:t xml:space="preserve">publicación</w:t>
      </w:r>
      <w:r>
        <w:t xml:space="preserve"> del acuerdo.</w:t>
      </w:r>
    </w:p>
    <w:p>
      <w:pPr>
        <w:pStyle w:val="Heading3"/>
        <w:spacing w:after="100" w:before="200"/>
      </w:pPr>
      <w:r>
        <w:t xml:space="preserve">6. Divulgación (art. 7): cómo se da a conocer</w:t>
      </w:r>
    </w:p>
    <w:p>
      <w:pPr>
        <w:spacing w:after="120"/>
        <w:jc w:val="both"/>
      </w:pPr>
      <w:r>
        <w:t xml:space="preserve">Una vez aprobada, la Carta debe darse a conocer mediante tres cauces regulados en el artículo 7:</w:t>
      </w:r>
    </w:p>
    <w:p>
      <w:pPr>
        <w:pStyle w:val="ListParagraph"/>
        <w:numPr>
          <w:ilvl w:val="0"/>
          <w:numId w:val="2"/>
        </w:numPr>
        <w:spacing w:after="60"/>
      </w:pPr>
      <w:r>
        <w:t xml:space="preserve">Un </w:t>
      </w:r>
      <w:r>
        <w:rPr>
          <w:b/>
          <w:bCs/>
        </w:rPr>
        <w:t xml:space="preserve">folleto divulgativo</w:t>
      </w:r>
      <w:r>
        <w:t xml:space="preserve"> con un extracto de la Carta (servicios y compromisos principales, misión del área, derechos de los usuarios, horario de atención, canales de comunicación), con el diseño que fije la Dirección General de Calidad/Vicerrectorado competente.</w:t>
      </w:r>
    </w:p>
    <w:p>
      <w:pPr>
        <w:pStyle w:val="ListParagraph"/>
        <w:numPr>
          <w:ilvl w:val="0"/>
          <w:numId w:val="2"/>
        </w:numPr>
        <w:spacing w:after="60"/>
      </w:pPr>
      <w:r>
        <w:t xml:space="preserve">Acciones divulgativas en las </w:t>
      </w:r>
      <w:r>
        <w:rPr>
          <w:b/>
          <w:bCs/>
        </w:rPr>
        <w:t xml:space="preserve">dependencias administrativas</w:t>
      </w:r>
      <w:r>
        <w:t xml:space="preserve"> del propio centro o unidad, que cada uno decide con libertad ("las acciones divulgativas que estime más eficaces").</w:t>
      </w:r>
    </w:p>
    <w:p>
      <w:pPr>
        <w:pStyle w:val="ListParagraph"/>
        <w:numPr>
          <w:ilvl w:val="0"/>
          <w:numId w:val="2"/>
        </w:numPr>
        <w:spacing w:after="60"/>
      </w:pPr>
      <w:r>
        <w:t xml:space="preserve">Publicación obligatoria en la </w:t>
      </w:r>
      <w:r>
        <w:rPr>
          <w:b/>
          <w:bCs/>
        </w:rPr>
        <w:t xml:space="preserve">página web</w:t>
      </w:r>
      <w:r>
        <w:t xml:space="preserve"> del centro o unidad titular de la Carta.</w:t>
      </w:r>
    </w:p>
    <w:p>
      <w:pPr>
        <w:pStyle w:val="Heading3"/>
        <w:spacing w:after="100" w:before="200"/>
      </w:pPr>
      <w:r>
        <w:t xml:space="preserve">7. Actualización (art. 8): cuándo cambia una Carta ya aprobada</w:t>
      </w:r>
    </w:p>
    <w:p>
      <w:pPr>
        <w:spacing w:after="120"/>
        <w:jc w:val="both"/>
      </w:pPr>
      <w:r>
        <w:t xml:space="preserve">Los titulares del centro o unidad son los </w:t>
      </w:r>
      <w:r>
        <w:rPr>
          <w:b/>
          <w:bCs/>
        </w:rPr>
        <w:t xml:space="preserve">responsables últimos</w:t>
      </w:r>
      <w:r>
        <w:t xml:space="preserve"> de la gestión, seguimiento interno y actualización de su Carta (art. 8.1). La actualización es obligatoria "siempre que haya modificaciones en los servicios prestados o por otros cambios sustanciales en la información" (art. 8.2).</w:t>
      </w:r>
    </w:p>
    <w:p>
      <w:pPr>
        <w:spacing w:after="120"/>
        <w:jc w:val="both"/>
      </w:pPr>
      <w:r>
        <w:t xml:space="preserve">El artículo 8.3 define qué se entiende por </w:t>
      </w:r>
      <w:r>
        <w:rPr>
          <w:b/>
          <w:bCs/>
        </w:rPr>
        <w:t xml:space="preserve">"cambio sustancial"</w:t>
      </w:r>
      <w:r>
        <w:t xml:space="preserve">, con una lista no exhaustiva ("entre otros"):</w:t>
      </w:r>
    </w:p>
    <w:p>
      <w:pPr>
        <w:pStyle w:val="ListParagraph"/>
        <w:numPr>
          <w:ilvl w:val="0"/>
          <w:numId w:val="3"/>
        </w:numPr>
        <w:spacing w:after="60"/>
      </w:pPr>
      <w:r>
        <w:t xml:space="preserve">Modificaciones normativas.</w:t>
      </w:r>
    </w:p>
    <w:p>
      <w:pPr>
        <w:pStyle w:val="ListParagraph"/>
        <w:numPr>
          <w:ilvl w:val="0"/>
          <w:numId w:val="3"/>
        </w:numPr>
        <w:spacing w:after="60"/>
      </w:pPr>
      <w:r>
        <w:t xml:space="preserve">Reestructuraciones orgánicas sustantivas.</w:t>
      </w:r>
    </w:p>
    <w:p>
      <w:pPr>
        <w:pStyle w:val="ListParagraph"/>
        <w:numPr>
          <w:ilvl w:val="0"/>
          <w:numId w:val="3"/>
        </w:numPr>
        <w:spacing w:after="60"/>
      </w:pPr>
      <w:r>
        <w:t xml:space="preserve">Introducción de nuevos servicios o modalidades de prestación.</w:t>
      </w:r>
    </w:p>
    <w:p>
      <w:pPr>
        <w:pStyle w:val="ListParagraph"/>
        <w:numPr>
          <w:ilvl w:val="0"/>
          <w:numId w:val="3"/>
        </w:numPr>
        <w:spacing w:after="60"/>
      </w:pPr>
      <w:r>
        <w:t xml:space="preserve">Mejora en la prestación por cambios en personal, recursos materiales/financieros o innovación tecnológica que aumente el rendimiento.</w:t>
      </w:r>
    </w:p>
    <w:p>
      <w:pPr>
        <w:pStyle w:val="ListParagraph"/>
        <w:numPr>
          <w:ilvl w:val="0"/>
          <w:numId w:val="3"/>
        </w:numPr>
        <w:spacing w:after="60"/>
      </w:pPr>
      <w:r>
        <w:t xml:space="preserve">Cualquier otra circunstancia sobrevenida que afecte de manera apreciable al funcionamiento del servicio.</w:t>
      </w:r>
    </w:p>
    <w:p>
      <w:pPr>
        <w:spacing w:after="120"/>
        <w:jc w:val="both"/>
      </w:pPr>
      <w:r>
        <w:t xml:space="preserve">Un detalle procedimental clave: la Carta actualizada </w:t>
      </w:r>
      <w:r>
        <w:rPr>
          <w:b/>
          <w:bCs/>
        </w:rPr>
        <w:t xml:space="preserve">se aprueba siguiendo el mismo procedimiento del artículo 6</w:t>
      </w:r>
      <w:r>
        <w:t xml:space="preserve"> (art. 8.4), es decir, vuelve a pasar por el Consejo de Gobierno con el informe favorable previo del Servicio de Planificación, Evaluación y Calidad. No hay un procedimiento simplificado de actualización.</w:t>
      </w:r>
    </w:p>
    <w:p>
      <w:pPr>
        <w:spacing w:after="120"/>
        <w:jc w:val="both"/>
      </w:pPr>
      <w:r>
        <w:t xml:space="preserve">⚠️ </w:t>
      </w:r>
      <w:r>
        <w:rPr>
          <w:b/>
          <w:bCs/>
        </w:rPr>
        <w:t xml:space="preserve">MUY PREGUNTADO EN EXAMEN</w:t>
      </w:r>
      <w:r>
        <w:t xml:space="preserve">: identificar ejemplos de "cambio sustancial" del art. 8.3 entre opciones (distractores típicos: cambios cosméticos como el logotipo, que NO constituyen cambio sustancial).</w:t>
      </w:r>
    </w:p>
    <w:p>
      <w:pPr>
        <w:pStyle w:val="Heading3"/>
        <w:spacing w:after="100" w:before="200"/>
      </w:pPr>
      <w:r>
        <w:t xml:space="preserve">8. Seguimiento (art. 9): el control anual</w:t>
      </w:r>
    </w:p>
    <w:p>
      <w:pPr>
        <w:spacing w:after="120"/>
        <w:jc w:val="both"/>
      </w:pPr>
      <w:r>
        <w:t xml:space="preserve">Cada año, en el </w:t>
      </w:r>
      <w:r>
        <w:rPr>
          <w:b/>
          <w:bCs/>
        </w:rPr>
        <w:t xml:space="preserve">primer cuatrimestre</w:t>
      </w:r>
      <w:r>
        <w:t xml:space="preserve">, los centros/unidades con Carta de Servicios deben elaborar un </w:t>
      </w:r>
      <w:r>
        <w:rPr>
          <w:b/>
          <w:bCs/>
        </w:rPr>
        <w:t xml:space="preserve">informe de seguimiento</w:t>
      </w:r>
      <w:r>
        <w:t xml:space="preserve"> sobre la observancia de la Carta durante el año anterior, analizando resultados e indicadores y proponiendo medidas correctoras o planes de mejora (art. 9.1). Ese informe se remite al </w:t>
      </w:r>
      <w:r>
        <w:rPr>
          <w:b/>
          <w:bCs/>
        </w:rPr>
        <w:t xml:space="preserve">Servicio de Planificación, Evaluación y Calidad</w:t>
      </w:r>
      <w:r>
        <w:t xml:space="preserve"> para su evaluación, y existe un </w:t>
      </w:r>
      <w:r>
        <w:rPr>
          <w:b/>
          <w:bCs/>
        </w:rPr>
        <w:t xml:space="preserve">modelo normalizado</w:t>
      </w:r>
      <w:r>
        <w:t xml:space="preserve"> para facilitar su elaboración (art. 9.2). El propio artículo 9.1 conecta explícitamente este seguimiento con la actualización del artículo 8: el resultado del informe "será tenido en cuenta para la actualización de los compromisos".</w:t>
      </w:r>
    </w:p>
    <w:p>
      <w:pPr>
        <w:pStyle w:val="Heading3"/>
        <w:spacing w:after="100" w:before="200"/>
      </w:pPr>
      <w:r>
        <w:t xml:space="preserve">9. Suspensión (art. 10): la vía excepcional</w:t>
      </w:r>
    </w:p>
    <w:p>
      <w:pPr>
        <w:spacing w:after="120"/>
        <w:jc w:val="both"/>
      </w:pPr>
      <w:r>
        <w:t xml:space="preserve">Es el mecanismo menos conocido y, por ello, muy rentable en examen. Ante "razones excepcionales sobrevenidas que afecten de manera extraordinaria" al funcionamiento del centro o unidad, su titular puede solicitar, mediante </w:t>
      </w:r>
      <w:r>
        <w:rPr>
          <w:b/>
          <w:bCs/>
        </w:rPr>
        <w:t xml:space="preserve">informe motivado</w:t>
      </w:r>
      <w:r>
        <w:t xml:space="preserve">, la </w:t>
      </w:r>
      <w:r>
        <w:rPr>
          <w:b/>
          <w:bCs/>
        </w:rPr>
        <w:t xml:space="preserve">suspensión temporal</w:t>
      </w:r>
      <w:r>
        <w:t xml:space="preserve"> de la Carta (por un periodo determinado y con el alcance que fije el propio informe). La solicitud se remite al Servicio de Planificación, Evaluación y Calidad, que eleva la propuesta con informe razonado a la Dirección General de Calidad o Vicerrectorado competente en materia de Calidad, que es quien </w:t>
      </w:r>
      <w:r>
        <w:rPr>
          <w:b/>
          <w:bCs/>
        </w:rPr>
        <w:t xml:space="preserve">acuerda</w:t>
      </w:r>
      <w:r>
        <w:t xml:space="preserve"> finalmente la suspensión.</w:t>
      </w:r>
    </w:p>
    <w:p>
      <w:pPr>
        <w:spacing w:after="120"/>
        <w:jc w:val="both"/>
      </w:pPr>
      <w:r>
        <w:t xml:space="preserve">Diferencia clave con la actualización: la actualización </w:t>
      </w:r>
      <w:r>
        <w:rPr>
          <w:b/>
          <w:bCs/>
        </w:rPr>
        <w:t xml:space="preserve">modifica el contenido</w:t>
      </w:r>
      <w:r>
        <w:t xml:space="preserve"> de la Carta ante cambios permanentes y pasa por el Consejo de Gobierno (art. 6); la suspensión </w:t>
      </w:r>
      <w:r>
        <w:rPr>
          <w:b/>
          <w:bCs/>
        </w:rPr>
        <w:t xml:space="preserve">paraliza temporalmente</w:t>
      </w:r>
      <w:r>
        <w:t xml:space="preserve"> su vigencia sin alterar su contenido, y la decide la Dirección General de Calidad/Vicerrectorado competente (no el Consejo de Gobierno).</w:t>
      </w:r>
    </w:p>
    <w:p>
      <w:pPr>
        <w:pStyle w:val="Heading3"/>
        <w:spacing w:after="100" w:before="200"/>
      </w:pPr>
      <w:r>
        <w:t xml:space="preserve">10. Disposiciones finales</w:t>
      </w:r>
    </w:p>
    <w:p>
      <w:pPr>
        <w:pStyle w:val="ListParagraph"/>
        <w:numPr>
          <w:ilvl w:val="0"/>
          <w:numId w:val="3"/>
        </w:numPr>
        <w:spacing w:after="60"/>
      </w:pPr>
      <w:r>
        <w:rPr>
          <w:b/>
          <w:bCs/>
        </w:rPr>
        <w:t xml:space="preserve">Disposición Adicional Primera</w:t>
      </w:r>
      <w:r>
        <w:t xml:space="preserve">: el Servicio de Planificación, Evaluación y Calidad elaborará los </w:t>
      </w:r>
      <w:r>
        <w:rPr>
          <w:b/>
          <w:bCs/>
        </w:rPr>
        <w:t xml:space="preserve">Procedimientos Operativos e Instrucciones Técnicas</w:t>
      </w:r>
      <w:r>
        <w:t xml:space="preserve"> necesarios para desarrollar el Reglamento.</w:t>
      </w:r>
    </w:p>
    <w:p>
      <w:pPr>
        <w:pStyle w:val="ListParagraph"/>
        <w:numPr>
          <w:ilvl w:val="0"/>
          <w:numId w:val="3"/>
        </w:numPr>
        <w:spacing w:after="60"/>
      </w:pPr>
      <w:r>
        <w:rPr>
          <w:b/>
          <w:bCs/>
        </w:rPr>
        <w:t xml:space="preserve">Disposición Transitoria</w:t>
      </w:r>
      <w:r>
        <w:t xml:space="preserve">: los centros o unidades que a la entrada en vigor del Reglamento ya tuvieran Carta de Servicios elaborada y divulgada disponen de un plazo </w:t>
      </w:r>
      <w:r>
        <w:rPr>
          <w:b/>
          <w:bCs/>
        </w:rPr>
        <w:t xml:space="preserve">no superior a seis meses</w:t>
      </w:r>
      <w:r>
        <w:t xml:space="preserve"> para adaptarla a los contenidos del nuevo texto. ⚠️ </w:t>
      </w:r>
      <w:r>
        <w:rPr>
          <w:b/>
          <w:bCs/>
        </w:rPr>
        <w:t xml:space="preserve">MUY PREGUNTADO EN EXAMEN</w:t>
      </w:r>
      <w:r>
        <w:t xml:space="preserve">: el plazo de </w:t>
      </w:r>
      <w:r>
        <w:rPr>
          <w:b/>
          <w:bCs/>
        </w:rPr>
        <w:t xml:space="preserve">seis meses</w:t>
      </w:r>
      <w:r>
        <w:t xml:space="preserve">.</w:t>
      </w:r>
    </w:p>
    <w:p>
      <w:pPr>
        <w:pStyle w:val="ListParagraph"/>
        <w:numPr>
          <w:ilvl w:val="0"/>
          <w:numId w:val="3"/>
        </w:numPr>
        <w:spacing w:after="60"/>
      </w:pPr>
      <w:r>
        <w:rPr>
          <w:b/>
          <w:bCs/>
        </w:rPr>
        <w:t xml:space="preserve">Disposición Final</w:t>
      </w:r>
      <w:r>
        <w:t xml:space="preserve">: el Reglamento entra en vigor </w:t>
      </w:r>
      <w:r>
        <w:rPr>
          <w:b/>
          <w:bCs/>
        </w:rPr>
        <w:t xml:space="preserve">al día siguiente de su aprobación por el Consejo de Gobierno</w:t>
      </w:r>
      <w:r>
        <w:t xml:space="preserve">.</w:t>
      </w:r>
    </w:p>
    <w:p>
      <w:pPr>
        <w:pStyle w:val="Heading3"/>
        <w:spacing w:after="100" w:before="200"/>
      </w:pPr>
      <w:r>
        <w:t xml:space="preserve">11. Visión de conjunto: el ciclo de vida de una Carta de Servicios</w:t>
      </w:r>
    </w:p>
    <w:p>
      <w:pPr>
        <w:spacing w:after="120"/>
        <w:jc w:val="both"/>
      </w:pPr>
      <w:r>
        <w:t xml:space="preserve">Resumen esquemático del recorrido completo de una Carta de Servicios en la UAL:</w:t>
      </w:r>
    </w:p>
    <w:p>
      <w:pPr>
        <w:pStyle w:val="ListParagraph"/>
        <w:numPr>
          <w:ilvl w:val="0"/>
          <w:numId w:val="2"/>
        </w:numPr>
        <w:spacing w:after="60"/>
      </w:pPr>
      <w:r>
        <w:rPr>
          <w:b/>
          <w:bCs/>
        </w:rPr>
        <w:t xml:space="preserve">Determinación</w:t>
      </w:r>
      <w:r>
        <w:t xml:space="preserve"> de qué unidad debe tener Carta (Dirección General de Calidad/Vicerrectorado, art. 5.1).</w:t>
      </w:r>
    </w:p>
    <w:p>
      <w:pPr>
        <w:pStyle w:val="ListParagraph"/>
        <w:numPr>
          <w:ilvl w:val="0"/>
          <w:numId w:val="2"/>
        </w:numPr>
        <w:spacing w:after="60"/>
      </w:pPr>
      <w:r>
        <w:rPr>
          <w:b/>
          <w:bCs/>
        </w:rPr>
        <w:t xml:space="preserve">Elaboración</w:t>
      </w:r>
      <w:r>
        <w:t xml:space="preserve"> del borrador por el equipo de trabajo/Comisión de Calidad del Centro, con apoyo técnico del Servicio de Planificación, Evaluación y Calidad (art. 5).</w:t>
      </w:r>
    </w:p>
    <w:p>
      <w:pPr>
        <w:pStyle w:val="ListParagraph"/>
        <w:numPr>
          <w:ilvl w:val="0"/>
          <w:numId w:val="2"/>
        </w:numPr>
        <w:spacing w:after="60"/>
      </w:pPr>
      <w:r>
        <w:rPr>
          <w:b/>
          <w:bCs/>
        </w:rPr>
        <w:t xml:space="preserve">Informe técnico</w:t>
      </w:r>
      <w:r>
        <w:t xml:space="preserve"> y elevación a la Dirección General de Calidad/Vicerrectorado (art. 5.5).</w:t>
      </w:r>
    </w:p>
    <w:p>
      <w:pPr>
        <w:pStyle w:val="ListParagraph"/>
        <w:numPr>
          <w:ilvl w:val="0"/>
          <w:numId w:val="2"/>
        </w:numPr>
        <w:spacing w:after="60"/>
      </w:pPr>
      <w:r>
        <w:rPr>
          <w:b/>
          <w:bCs/>
        </w:rPr>
        <w:t xml:space="preserve">Aprobación</w:t>
      </w:r>
      <w:r>
        <w:t xml:space="preserve"> por acuerdo del Consejo de Gobierno, previo informe favorable (art. 6).</w:t>
      </w:r>
    </w:p>
    <w:p>
      <w:pPr>
        <w:pStyle w:val="ListParagraph"/>
        <w:numPr>
          <w:ilvl w:val="0"/>
          <w:numId w:val="2"/>
        </w:numPr>
        <w:spacing w:after="60"/>
      </w:pPr>
      <w:r>
        <w:rPr>
          <w:b/>
          <w:bCs/>
        </w:rPr>
        <w:t xml:space="preserve">Publicación</w:t>
      </w:r>
      <w:r>
        <w:t xml:space="preserve"> del acuerdo (eficacia plena) (art. 6.2).</w:t>
      </w:r>
    </w:p>
    <w:p>
      <w:pPr>
        <w:pStyle w:val="ListParagraph"/>
        <w:numPr>
          <w:ilvl w:val="0"/>
          <w:numId w:val="2"/>
        </w:numPr>
        <w:spacing w:after="60"/>
      </w:pPr>
      <w:r>
        <w:rPr>
          <w:b/>
          <w:bCs/>
        </w:rPr>
        <w:t xml:space="preserve">Divulgación</w:t>
      </w:r>
      <w:r>
        <w:t xml:space="preserve">: folleto, dependencias administrativas, web (art. 7).</w:t>
      </w:r>
    </w:p>
    <w:p>
      <w:pPr>
        <w:pStyle w:val="ListParagraph"/>
        <w:numPr>
          <w:ilvl w:val="0"/>
          <w:numId w:val="2"/>
        </w:numPr>
        <w:spacing w:after="60"/>
      </w:pPr>
      <w:r>
        <w:rPr>
          <w:b/>
          <w:bCs/>
        </w:rPr>
        <w:t xml:space="preserve">Seguimiento anual</w:t>
      </w:r>
      <w:r>
        <w:t xml:space="preserve"> (primer cuatrimestre) (art. 9).</w:t>
      </w:r>
    </w:p>
    <w:p>
      <w:pPr>
        <w:pStyle w:val="ListParagraph"/>
        <w:numPr>
          <w:ilvl w:val="0"/>
          <w:numId w:val="2"/>
        </w:numPr>
        <w:spacing w:after="60"/>
      </w:pPr>
      <w:r>
        <w:rPr>
          <w:b/>
          <w:bCs/>
        </w:rPr>
        <w:t xml:space="preserve">Actualización</w:t>
      </w:r>
      <w:r>
        <w:t xml:space="preserve">, si procede, siguiendo de nuevo el procedimiento del art. 6 (art. 8).</w:t>
      </w:r>
    </w:p>
    <w:p>
      <w:pPr>
        <w:pStyle w:val="ListParagraph"/>
        <w:numPr>
          <w:ilvl w:val="0"/>
          <w:numId w:val="2"/>
        </w:numPr>
        <w:spacing w:after="60"/>
      </w:pPr>
      <w:r>
        <w:rPr>
          <w:b/>
          <w:bCs/>
        </w:rPr>
        <w:t xml:space="preserve">Suspensión</w:t>
      </w:r>
      <w:r>
        <w:t xml:space="preserve">, en su caso, por razones excepcionales, acordada por la Dirección General de Calidad/Vicerrectorado (art. 10).</w:t>
      </w:r>
    </w:p>
    <w:p>
      <w:pPr>
        <w:spacing w:after="120"/>
        <w:jc w:val="both"/>
      </w:pPr>
      <w:r>
        <w:t xml:space="preserve">Este esquema secuencial es el más rentable para memorizar de cara al examen, porque permite responder tanto a preguntas de "qué artículo regula X" como a preguntas de encadenamiento de órganos ("¿quién interviene después de quién?").</w:t>
      </w:r>
    </w:p>
    <w:p>
      <w:pPr>
        <w:pStyle w:val="Heading3"/>
        <w:spacing w:after="100" w:before="200"/>
      </w:pPr>
      <w:r>
        <w:t xml:space="preserve">12. El sistema de quejas y sugerencias: contexto general</w:t>
      </w:r>
    </w:p>
    <w:p>
      <w:pPr>
        <w:spacing w:after="120"/>
        <w:jc w:val="both"/>
      </w:pPr>
      <w:r>
        <w:t xml:space="preserve">El Reglamento UAL exige (art. 4, bloque 1º) que la Carta informe sobre "disponibilidad y acceso al sistema de quejas y sugerencias de la Universidad de Almería", con formas de presentación, plazos de contestación y efectos, pero no desarrolla en detalle el funcionamiento de ese sistema (que se regula, previsiblemente, en otra normativa interna específica, no localizada en esta búsqueda). Como </w:t>
      </w:r>
      <w:r>
        <w:rPr>
          <w:b/>
          <w:bCs/>
        </w:rPr>
        <w:t xml:space="preserve">contexto general</w:t>
      </w:r>
      <w:r>
        <w:t xml:space="preserve"> válido para toda la Administración española: el sistema de quejas y sugerencias es el cauce ordinario por el que la ciudadanía traslada su valoración sobre el servicio recibido y obtiene una respuesta en plazo, sin que ello equivalga a un recurso administrativo ni genere automáticamente responsabilidad patrimonial o contractual; es, ante todo, un instrumento de mejora continua de la calidad.</w:t>
      </w:r>
    </w:p>
    <w:p>
      <w:pPr>
        <w:pStyle w:val="Heading3"/>
        <w:spacing w:after="100" w:before="200"/>
      </w:pPr>
      <w:r>
        <w:t xml:space="preserve">13. Órgano responsable en la UAL</w:t>
      </w:r>
    </w:p>
    <w:p>
      <w:pPr>
        <w:spacing w:after="120"/>
        <w:jc w:val="both"/>
      </w:pPr>
      <w:r>
        <w:t xml:space="preserve">De la lectura conjunta del articulado, el "órgano responsable" del sistema de Cartas de Servicios en la UAL no es una única figura, sino un reparto de competencias:</w:t>
      </w:r>
    </w:p>
    <w:p>
      <w:pPr>
        <w:pStyle w:val="ListParagraph"/>
        <w:numPr>
          <w:ilvl w:val="0"/>
          <w:numId w:val="3"/>
        </w:numPr>
        <w:spacing w:after="60"/>
      </w:pPr>
      <w:r>
        <w:rPr>
          <w:b/>
          <w:bCs/>
        </w:rPr>
        <w:t xml:space="preserve">Dirección General de Calidad o Vicerrectorado competente en materia de Calidad</w:t>
      </w:r>
      <w:r>
        <w:t xml:space="preserve">: decide qué unidades elaboran Carta, propone su aprobación al Consejo de Gobierno, decide sobre suspensiones, fija el diseño del folleto divulgativo.</w:t>
      </w:r>
    </w:p>
    <w:p>
      <w:pPr>
        <w:pStyle w:val="ListParagraph"/>
        <w:numPr>
          <w:ilvl w:val="0"/>
          <w:numId w:val="3"/>
        </w:numPr>
        <w:spacing w:after="60"/>
      </w:pPr>
      <w:r>
        <w:rPr>
          <w:b/>
          <w:bCs/>
        </w:rPr>
        <w:t xml:space="preserve">Servicio de Planificación, Evaluación y Calidad</w:t>
      </w:r>
      <w:r>
        <w:t xml:space="preserve">: es el órgano técnico transversal presente en casi todas las fases (colaboración en la elaboración, informe técnico previo a la aprobación, informe favorable previo a la aprobación, recepción de informes de seguimiento, tramitación de solicitudes de suspensión, elaboración de Procedimientos Operativos e Instrucciones Técnicas).</w:t>
      </w:r>
    </w:p>
    <w:p>
      <w:pPr>
        <w:pStyle w:val="ListParagraph"/>
        <w:numPr>
          <w:ilvl w:val="0"/>
          <w:numId w:val="3"/>
        </w:numPr>
        <w:spacing w:after="60"/>
      </w:pPr>
      <w:r>
        <w:rPr>
          <w:b/>
          <w:bCs/>
        </w:rPr>
        <w:t xml:space="preserve">Consejo de Gobierno</w:t>
      </w:r>
      <w:r>
        <w:t xml:space="preserve">: aprueba formalmente todas las Cartas de Servicios y sus actualizaciones.</w:t>
      </w:r>
    </w:p>
    <w:p>
      <w:pPr>
        <w:pStyle w:val="ListParagraph"/>
        <w:numPr>
          <w:ilvl w:val="0"/>
          <w:numId w:val="3"/>
        </w:numPr>
        <w:spacing w:after="60"/>
      </w:pPr>
      <w:r>
        <w:rPr>
          <w:b/>
          <w:bCs/>
        </w:rPr>
        <w:t xml:space="preserve">Titulares de cada centro/unidad</w:t>
      </w:r>
      <w:r>
        <w:t xml:space="preserve">: responsables últimos de gestión, seguimiento interno y actualización de su propia Carta.</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2026-08-16T11:40:37.241Z</dcterms:created>
  <dcterms:modified xsi:type="dcterms:W3CDTF">2026-08-16T11:40:37.241Z</dcterms:modified>
</cp:coreProperties>
</file>

<file path=docProps/custom.xml><?xml version="1.0" encoding="utf-8"?>
<Properties xmlns="http://schemas.openxmlformats.org/officeDocument/2006/custom-properties" xmlns:vt="http://schemas.openxmlformats.org/officeDocument/2006/docPropsVTypes"/>
</file>