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Tema 21. RD 1125/2003, Créditos ECTS y Calificaciones</w:t>
      </w:r>
    </w:p>
    <w:p>
      <w:pPr>
        <w:pStyle w:val="Heading2"/>
        <w:spacing w:after="120" w:before="260"/>
      </w:pPr>
      <w:r>
        <w:t xml:space="preserve">Tema 21: Real Decreto 1125/2003, de 5 de septiembre, por el que se establece el sistema europeo de créditos y el sistema de calificaciones en las titulaciones universitarias de carácter oficial y validez en todo el territorio nacional</w:t>
      </w:r>
    </w:p>
    <w:p>
      <w:pPr>
        <w:pStyle w:val="Heading3"/>
        <w:spacing w:after="100" w:before="200"/>
      </w:pPr>
      <w:r>
        <w:t xml:space="preserve">1. Contexto y justificación de la norma</w:t>
      </w:r>
    </w:p>
    <w:p>
      <w:pPr>
        <w:spacing w:after="120"/>
        <w:jc w:val="both"/>
      </w:pPr>
      <w:r>
        <w:t xml:space="preserve">Para entender este Real Decreto hay que situarlo en su momento histórico: España, como miembro de la Unión Europea, se comprometió (Declaración de Bolonia de 1999) a construir el llamado </w:t>
      </w:r>
      <w:r>
        <w:rPr>
          <w:b/>
          <w:bCs/>
        </w:rPr>
        <w:t xml:space="preserve">Espacio Europeo de Educación Superior (EEES)</w:t>
      </w:r>
      <w:r>
        <w:t xml:space="preserve">, un marco común que permitiera que los títulos universitarios fueran comparables, comprensibles y "transportables" entre los distintos países europeos. Uno de los pilares de ese espacio común era disponer de un sistema homogéneo para medir el trabajo académico del estudiante y para calificar sus resultados.</w:t>
      </w:r>
    </w:p>
    <w:p>
      <w:pPr>
        <w:spacing w:after="120"/>
        <w:jc w:val="both"/>
      </w:pPr>
      <w:r>
        <w:t xml:space="preserve">Antes de este Real Decreto, España utilizaba el </w:t>
      </w:r>
      <w:r>
        <w:rPr>
          <w:b/>
          <w:bCs/>
        </w:rPr>
        <w:t xml:space="preserve">crédito LRU</w:t>
      </w:r>
      <w:r>
        <w:t xml:space="preserve"> (Ley de Reforma Universitaria, 1983), que medía exclusivamente </w:t>
      </w:r>
      <w:r>
        <w:rPr>
          <w:b/>
          <w:bCs/>
        </w:rPr>
        <w:t xml:space="preserve">horas de clase impartidas por el profesor</w:t>
      </w:r>
      <w:r>
        <w:t xml:space="preserve"> (1 crédito LRU = 10 horas lectivas, típicamente de teoría o de prácticas). Era, por tanto, una unidad centrada en la </w:t>
      </w:r>
      <w:r>
        <w:rPr>
          <w:b/>
          <w:bCs/>
        </w:rPr>
        <w:t xml:space="preserve">docencia</w:t>
      </w:r>
      <w:r>
        <w:t xml:space="preserve">, no en el </w:t>
      </w:r>
      <w:r>
        <w:rPr>
          <w:b/>
          <w:bCs/>
        </w:rPr>
        <w:t xml:space="preserve">aprendizaje</w:t>
      </w:r>
      <w:r>
        <w:t xml:space="preserve">.</w:t>
      </w:r>
    </w:p>
    <w:p>
      <w:pPr>
        <w:spacing w:after="120"/>
        <w:jc w:val="both"/>
      </w:pPr>
      <w:r>
        <w:t xml:space="preserve">El RD 1125/2003 supone un cambio de paradigma: introduce el </w:t>
      </w:r>
      <w:r>
        <w:rPr>
          <w:b/>
          <w:bCs/>
        </w:rPr>
        <w:t xml:space="preserve">crédito europeo (ECTS – European Credit Transfer System)</w:t>
      </w:r>
      <w:r>
        <w:t xml:space="preserve">, que ya no mide solo las horas de clase, sino </w:t>
      </w:r>
      <w:r>
        <w:rPr>
          <w:b/>
          <w:bCs/>
        </w:rPr>
        <w:t xml:space="preserve">todo el trabajo que el estudiante debe realizar</w:t>
      </w:r>
      <w:r>
        <w:t xml:space="preserve"> para superar una asignatura: horas de clase teórica, prácticas, seminarios, tutorías, trabajo autónomo, preparación y realización de exámenes, etc.</w:t>
      </w:r>
    </w:p>
    <w:p>
      <w:pPr>
        <w:spacing w:after="120"/>
        <w:jc w:val="both"/>
      </w:pPr>
      <w:r>
        <w:t xml:space="preserve">⚠️ </w:t>
      </w:r>
      <w:r>
        <w:rPr>
          <w:b/>
          <w:bCs/>
        </w:rPr>
        <w:t xml:space="preserve">MUY PREGUNTADO EN EXAMEN</w:t>
      </w:r>
      <w:r>
        <w:t xml:space="preserve">: La diferencia clave entre el crédito LRU y el crédito ECTS es que el LRU medía </w:t>
      </w:r>
      <w:r>
        <w:rPr>
          <w:b/>
          <w:bCs/>
        </w:rPr>
        <w:t xml:space="preserve">horas de docencia del profesor</w:t>
      </w:r>
      <w:r>
        <w:t xml:space="preserve">, mientras que el ECTS mide </w:t>
      </w:r>
      <w:r>
        <w:rPr>
          <w:b/>
          <w:bCs/>
        </w:rPr>
        <w:t xml:space="preserve">el trabajo global del estudiante</w:t>
      </w:r>
      <w:r>
        <w:t xml:space="preserve"> (enfoque centrado en el aprendizaje, no en la enseñanza).</w:t>
      </w:r>
    </w:p>
    <w:p>
      <w:pPr>
        <w:spacing w:after="120"/>
        <w:jc w:val="both"/>
      </w:pPr>
      <w:r>
        <w:t xml:space="preserve">Esta norma fue una pieza clave (junto con el RD 1044/2003, sobre el Suplemento Europeo al Título) del proceso de adaptación española al EEES, previo a la gran reforma de las titulaciones de Grado, Máster y Doctorado que llegaría después con el RD 1393/2007.</w:t>
      </w:r>
    </w:p>
    <w:p>
      <w:pPr>
        <w:spacing w:after="120"/>
        <w:jc w:val="both"/>
      </w:pPr>
      <w:r>
        <w:rPr>
          <w:b/>
          <w:bCs/>
        </w:rPr>
        <w:t xml:space="preserve">Estructura formal de la norma</w:t>
      </w:r>
      <w:r>
        <w:t xml:space="preserve">: consta de una breve exposición de motivos, </w:t>
      </w:r>
      <w:r>
        <w:rPr>
          <w:b/>
          <w:bCs/>
        </w:rPr>
        <w:t xml:space="preserve">8 artículos</w:t>
      </w:r>
      <w:r>
        <w:t xml:space="preserve">, una disposición adicional, una disposición transitoria, una disposición derogatoria y dos disposiciones finales. Es, como indica el propio enunciado del tema, "una norma corta", pero de gran densidad conceptual y muy explotada en los exámenes tipo test por su precisión numérica (porcentajes, horas, escalas).</w:t>
      </w:r>
    </w:p>
    <w:p>
      <w:pPr>
        <w:pBdr>
          <w:bottom w:val="single" w:color="AAAAAA" w:sz="6" w:space="1"/>
        </w:pBdr>
        <w:spacing w:after="200"/>
      </w:pPr>
    </w:p>
    <w:p>
      <w:pPr>
        <w:pStyle w:val="Heading3"/>
        <w:spacing w:after="100" w:before="200"/>
      </w:pPr>
      <w:r>
        <w:t xml:space="preserve">2. Objeto de la norma (artículo 1)</w:t>
      </w:r>
    </w:p>
    <w:p>
      <w:pPr>
        <w:spacing w:after="120"/>
        <w:jc w:val="both"/>
      </w:pPr>
      <w:r>
        <w:t xml:space="preserve">El artículo 1 fija el </w:t>
      </w:r>
      <w:r>
        <w:rPr>
          <w:b/>
          <w:bCs/>
        </w:rPr>
        <w:t xml:space="preserve">objeto</w:t>
      </w:r>
      <w:r>
        <w:t xml:space="preserve"> del Real Decreto: establecer, para las enseñanzas universitarias de carácter oficial y validez en todo el territorio nacional, </w:t>
      </w:r>
      <w:r>
        <w:rPr>
          <w:b/>
          <w:bCs/>
        </w:rPr>
        <w:t xml:space="preserve">dos elementos</w:t>
      </w:r>
      <w:r>
        <w:t xml:space="preserve">:</w:t>
      </w:r>
    </w:p>
    <w:p>
      <w:pPr>
        <w:pStyle w:val="ListParagraph"/>
        <w:numPr>
          <w:ilvl w:val="0"/>
          <w:numId w:val="2"/>
        </w:numPr>
        <w:spacing w:after="60"/>
      </w:pPr>
      <w:r>
        <w:rPr>
          <w:b/>
          <w:bCs/>
        </w:rPr>
        <w:t xml:space="preserve">El crédito europeo</w:t>
      </w:r>
      <w:r>
        <w:t xml:space="preserve"> como unidad de medida del haber académico.</w:t>
      </w:r>
    </w:p>
    <w:p>
      <w:pPr>
        <w:pStyle w:val="ListParagraph"/>
        <w:numPr>
          <w:ilvl w:val="0"/>
          <w:numId w:val="2"/>
        </w:numPr>
        <w:spacing w:after="60"/>
      </w:pPr>
      <w:r>
        <w:rPr>
          <w:b/>
          <w:bCs/>
        </w:rPr>
        <w:t xml:space="preserve">El sistema de calificaciones</w:t>
      </w:r>
      <w:r>
        <w:t xml:space="preserve"> aplicable a dichas enseñanzas.</w:t>
      </w:r>
    </w:p>
    <w:p>
      <w:pPr>
        <w:spacing w:after="120"/>
        <w:jc w:val="both"/>
      </w:pPr>
      <w:r>
        <w:t xml:space="preserve">⚠️ </w:t>
      </w:r>
      <w:r>
        <w:rPr>
          <w:b/>
          <w:bCs/>
        </w:rPr>
        <w:t xml:space="preserve">MUY PREGUNTADO EN EXAMEN</w:t>
      </w:r>
      <w:r>
        <w:t xml:space="preserve">: Recordar que la norma regula *dos cosas distintas y complementarias*: (a) cómo se mide la "cantidad" de estudios (créditos) y (b) cómo se mide la "calidad" del rendimiento (calificaciones). Muchas preguntas de examen buscan confundir ambos bloques.</w:t>
      </w:r>
    </w:p>
    <w:p>
      <w:pPr>
        <w:spacing w:after="120"/>
        <w:jc w:val="both"/>
      </w:pPr>
      <w:r>
        <w:t xml:space="preserve">El ámbito de aplicación son las </w:t>
      </w:r>
      <w:r>
        <w:rPr>
          <w:b/>
          <w:bCs/>
        </w:rPr>
        <w:t xml:space="preserve">enseñanzas universitarias de carácter oficial y validez en todo el territorio nacional</w:t>
      </w:r>
      <w:r>
        <w:t xml:space="preserve">, es decir, las que dan lugar a títulos oficiales reconocidos por el Estado (no títulos propios de las universidades).</w:t>
      </w:r>
    </w:p>
    <w:p>
      <w:pPr>
        <w:pBdr>
          <w:bottom w:val="single" w:color="AAAAAA" w:sz="6" w:space="1"/>
        </w:pBdr>
        <w:spacing w:after="200"/>
      </w:pPr>
    </w:p>
    <w:p>
      <w:pPr>
        <w:pStyle w:val="Heading3"/>
        <w:spacing w:after="100" w:before="200"/>
      </w:pPr>
      <w:r>
        <w:t xml:space="preserve">3. El crédito europeo: definición y concepto (artículo 3)</w:t>
      </w:r>
    </w:p>
    <w:p>
      <w:pPr>
        <w:spacing w:after="120"/>
        <w:jc w:val="both"/>
      </w:pPr>
      <w:r>
        <w:t xml:space="preserve">Este es, junto con el artículo 5, el núcleo del tema.</w:t>
      </w:r>
    </w:p>
    <w:p>
      <w:pPr>
        <w:pStyle w:val="Heading4"/>
        <w:spacing w:after="80" w:before="150"/>
      </w:pPr>
      <w:r>
        <w:t xml:space="preserve">3.1. Definición legal</w:t>
      </w:r>
    </w:p>
    <w:p>
      <w:pPr>
        <w:spacing w:after="120"/>
        <w:jc w:val="both"/>
      </w:pPr>
      <w:r>
        <w:t xml:space="preserve">El crédito europeo se define como la </w:t>
      </w:r>
      <w:r>
        <w:rPr>
          <w:b/>
          <w:bCs/>
        </w:rPr>
        <w:t xml:space="preserve">unidad de medida que refleja los resultados del aprendizaje y el volumen de trabajo realizado por el estudiante</w:t>
      </w:r>
      <w:r>
        <w:t xml:space="preserve"> para alcanzar los objetivos establecidos en el plan de estudios. En palabras del propio texto, el crédito "representa la cantidad de trabajo del estudiante para cumplir los objetivos del programa de estudios".</w:t>
      </w:r>
    </w:p>
    <w:p>
      <w:pPr>
        <w:spacing w:after="120"/>
        <w:jc w:val="both"/>
      </w:pPr>
      <w:r>
        <w:t xml:space="preserve">Este concepto es fundamental porque marca la diferencia con el sistema anterior: </w:t>
      </w:r>
      <w:r>
        <w:rPr>
          <w:b/>
          <w:bCs/>
        </w:rPr>
        <w:t xml:space="preserve">el crédito europeo integra tanto las enseñanzas teóricas y prácticas como otras actividades académicas dirigidas</w:t>
      </w:r>
      <w:r>
        <w:t xml:space="preserve">, con inclusión de las horas de estudio y de trabajo que el estudiante debe realizar para alcanzar los objetivos formativos propios de cada una de las materias del correspondiente plan de estudios.</w:t>
      </w:r>
    </w:p>
    <w:p>
      <w:pPr>
        <w:spacing w:after="120"/>
        <w:jc w:val="both"/>
      </w:pPr>
      <w:r>
        <w:t xml:space="preserve">Dicho de forma sencilla: </w:t>
      </w:r>
      <w:r>
        <w:rPr>
          <w:b/>
          <w:bCs/>
        </w:rPr>
        <w:t xml:space="preserve">1 crédito europeo = una "cantidad de trabajo total" del alumno</w:t>
      </w:r>
      <w:r>
        <w:t xml:space="preserve">, que incluye:</w:t>
      </w:r>
    </w:p>
    <w:p>
      <w:pPr>
        <w:pStyle w:val="ListParagraph"/>
        <w:numPr>
          <w:ilvl w:val="0"/>
          <w:numId w:val="3"/>
        </w:numPr>
        <w:spacing w:after="60"/>
      </w:pPr>
      <w:r>
        <w:t xml:space="preserve">Horas de clases teóricas.</w:t>
      </w:r>
    </w:p>
    <w:p>
      <w:pPr>
        <w:pStyle w:val="ListParagraph"/>
        <w:numPr>
          <w:ilvl w:val="0"/>
          <w:numId w:val="3"/>
        </w:numPr>
        <w:spacing w:after="60"/>
      </w:pPr>
      <w:r>
        <w:t xml:space="preserve">Horas de clases prácticas (laboratorio, seminarios, talleres).</w:t>
      </w:r>
    </w:p>
    <w:p>
      <w:pPr>
        <w:pStyle w:val="ListParagraph"/>
        <w:numPr>
          <w:ilvl w:val="0"/>
          <w:numId w:val="3"/>
        </w:numPr>
        <w:spacing w:after="60"/>
      </w:pPr>
      <w:r>
        <w:t xml:space="preserve">Horas de tutorías.</w:t>
      </w:r>
    </w:p>
    <w:p>
      <w:pPr>
        <w:pStyle w:val="ListParagraph"/>
        <w:numPr>
          <w:ilvl w:val="0"/>
          <w:numId w:val="3"/>
        </w:numPr>
        <w:spacing w:after="60"/>
      </w:pPr>
      <w:r>
        <w:t xml:space="preserve">Horas de trabajo autónomo del estudiante (estudio, preparación de trabajos).</w:t>
      </w:r>
    </w:p>
    <w:p>
      <w:pPr>
        <w:pStyle w:val="ListParagraph"/>
        <w:numPr>
          <w:ilvl w:val="0"/>
          <w:numId w:val="3"/>
        </w:numPr>
        <w:spacing w:after="60"/>
      </w:pPr>
      <w:r>
        <w:t xml:space="preserve">Horas dedicadas a la preparación y realización de exámenes y evaluaciones.</w:t>
      </w:r>
    </w:p>
    <w:p>
      <w:pPr>
        <w:spacing w:after="120"/>
        <w:jc w:val="both"/>
      </w:pPr>
      <w:r>
        <w:rPr>
          <w:b/>
          <w:bCs/>
        </w:rPr>
        <w:t xml:space="preserve">Ejemplo práctico</w:t>
      </w:r>
      <w:r>
        <w:t xml:space="preserve">: Si una asignatura tiene 6 créditos ECTS y la universidad fija 25 horas por crédito, esa asignatura supone </w:t>
      </w:r>
      <w:r>
        <w:rPr>
          <w:b/>
          <w:bCs/>
        </w:rPr>
        <w:t xml:space="preserve">150 horas de trabajo total del estudiante</w:t>
      </w:r>
      <w:r>
        <w:t xml:space="preserve"> (no solo 150 horas de clase presencial, sino la suma de clases, prácticas, estudio personal y examen).</w:t>
      </w:r>
    </w:p>
    <w:p>
      <w:pPr>
        <w:pStyle w:val="Heading4"/>
        <w:spacing w:after="80" w:before="150"/>
      </w:pPr>
      <w:r>
        <w:t xml:space="preserve">3.2. Horquilla horas/crédito (artículo 4)</w:t>
      </w:r>
    </w:p>
    <w:p>
      <w:pPr>
        <w:spacing w:after="120"/>
        <w:jc w:val="both"/>
      </w:pPr>
      <w:r>
        <w:t xml:space="preserve">El propio Real Decreto no fija un número cerrado de horas por crédito, sino una </w:t>
      </w:r>
      <w:r>
        <w:rPr>
          <w:b/>
          <w:bCs/>
        </w:rPr>
        <w:t xml:space="preserve">horquilla</w:t>
      </w:r>
      <w:r>
        <w:t xml:space="preserve">: el número de horas por crédito será de </w:t>
      </w:r>
      <w:r>
        <w:rPr>
          <w:b/>
          <w:bCs/>
        </w:rPr>
        <w:t xml:space="preserve">un mínimo de 25 y un máximo de 30 horas</w:t>
      </w:r>
      <w:r>
        <w:t xml:space="preserve">. Dentro de ese margen, corresponde a cada universidad (o al Gobierno, según los casos, en el desarrollo normativo posterior) concretar la cifra exacta.</w:t>
      </w:r>
    </w:p>
    <w:p>
      <w:pPr>
        <w:spacing w:after="120"/>
        <w:jc w:val="both"/>
      </w:pPr>
      <w:r>
        <w:t xml:space="preserve">⚠️ </w:t>
      </w:r>
      <w:r>
        <w:rPr>
          <w:b/>
          <w:bCs/>
        </w:rPr>
        <w:t xml:space="preserve">MUY PREGUNTADO EN EXAMEN</w:t>
      </w:r>
      <w:r>
        <w:t xml:space="preserve">: La horquilla </w:t>
      </w:r>
      <w:r>
        <w:rPr>
          <w:b/>
          <w:bCs/>
        </w:rPr>
        <w:t xml:space="preserve">25-30 horas por crédito</w:t>
      </w:r>
      <w:r>
        <w:t xml:space="preserve"> es uno de los datos numéricos más preguntados de todo el tema. Cuidado con las opciones que ponen "20-25" o "30-35"; son distractores típicos.</w:t>
      </w:r>
    </w:p>
    <w:p>
      <w:pPr>
        <w:pStyle w:val="Heading4"/>
        <w:spacing w:after="80" w:before="150"/>
      </w:pPr>
      <w:r>
        <w:t xml:space="preserve">3.3. Créditos por curso académico</w:t>
      </w:r>
    </w:p>
    <w:p>
      <w:pPr>
        <w:spacing w:after="120"/>
        <w:jc w:val="both"/>
      </w:pPr>
      <w:r>
        <w:t xml:space="preserve">El número total de créditos establecido en los planes de estudios para cada curso académico completo de una enseñanza universitaria de carácter oficial es de </w:t>
      </w:r>
      <w:r>
        <w:rPr>
          <w:b/>
          <w:bCs/>
        </w:rPr>
        <w:t xml:space="preserve">60 créditos</w:t>
      </w:r>
      <w:r>
        <w:t xml:space="preserve">, correspondientes al </w:t>
      </w:r>
      <w:r>
        <w:rPr>
          <w:b/>
          <w:bCs/>
        </w:rPr>
        <w:t xml:space="preserve">rendimiento del estudiante a tiempo completo durante un curso académico</w:t>
      </w:r>
      <w:r>
        <w:t xml:space="preserve">.</w:t>
      </w:r>
    </w:p>
    <w:p>
      <w:pPr>
        <w:spacing w:after="120"/>
        <w:jc w:val="both"/>
      </w:pPr>
      <w:r>
        <w:t xml:space="preserve">Además, el período lectivo de cada curso académico se organiza, con carácter general, comprendido entre un mínimo de </w:t>
      </w:r>
      <w:r>
        <w:rPr>
          <w:b/>
          <w:bCs/>
        </w:rPr>
        <w:t xml:space="preserve">36 y un máximo de 40 semanas</w:t>
      </w:r>
      <w:r>
        <w:t xml:space="preserve">.</w:t>
      </w:r>
    </w:p>
    <w:p>
      <w:pPr>
        <w:spacing w:after="120"/>
        <w:jc w:val="both"/>
      </w:pPr>
      <w:r>
        <w:t xml:space="preserve">⚠️ </w:t>
      </w:r>
      <w:r>
        <w:rPr>
          <w:b/>
          <w:bCs/>
        </w:rPr>
        <w:t xml:space="preserve">MUY PREGUNTADO EN EXAMEN</w:t>
      </w:r>
      <w:r>
        <w:t xml:space="preserve">: Retener el número </w:t>
      </w:r>
      <w:r>
        <w:rPr>
          <w:b/>
          <w:bCs/>
        </w:rPr>
        <w:t xml:space="preserve">60 créditos/curso</w:t>
      </w:r>
      <w:r>
        <w:t xml:space="preserve"> y el rango de </w:t>
      </w:r>
      <w:r>
        <w:rPr>
          <w:b/>
          <w:bCs/>
        </w:rPr>
        <w:t xml:space="preserve">36-40 semanas lectivas</w:t>
      </w:r>
      <w:r>
        <w:t xml:space="preserve">. Es habitual que el examen combine ambos datos en una misma pregunta ("¿cuántos créditos supone un curso académico completo a tiempo completo?").</w:t>
      </w:r>
    </w:p>
    <w:p>
      <w:pPr>
        <w:spacing w:after="120"/>
        <w:jc w:val="both"/>
      </w:pPr>
      <w:r>
        <w:rPr>
          <w:b/>
          <w:bCs/>
        </w:rPr>
        <w:t xml:space="preserve">Ejemplo práctico</w:t>
      </w:r>
      <w:r>
        <w:t xml:space="preserve">: Un Grado universitario de 4 cursos académicos, a tiempo completo, supone 4 × 60 = </w:t>
      </w:r>
      <w:r>
        <w:rPr>
          <w:b/>
          <w:bCs/>
        </w:rPr>
        <w:t xml:space="preserve">240 créditos ECTS</w:t>
      </w:r>
      <w:r>
        <w:t xml:space="preserve"> en total (este dato, aunque proviene del desarrollo posterior con el RD 1393/2007, ayuda a fijar la lógica del sistema de 60 créditos/año que introduce el RD 1125/2003).</w:t>
      </w:r>
    </w:p>
    <w:p>
      <w:pPr>
        <w:pBdr>
          <w:bottom w:val="single" w:color="AAAAAA" w:sz="6" w:space="1"/>
        </w:pBdr>
        <w:spacing w:after="200"/>
      </w:pPr>
    </w:p>
    <w:p>
      <w:pPr>
        <w:pStyle w:val="Heading3"/>
        <w:spacing w:after="100" w:before="200"/>
      </w:pPr>
      <w:r>
        <w:t xml:space="preserve">4. El sistema de calificaciones (artículo 5)</w:t>
      </w:r>
    </w:p>
    <w:p>
      <w:pPr>
        <w:spacing w:after="120"/>
        <w:jc w:val="both"/>
      </w:pPr>
      <w:r>
        <w:t xml:space="preserve">Este es el bloque </w:t>
      </w:r>
      <w:r>
        <w:rPr>
          <w:b/>
          <w:bCs/>
        </w:rPr>
        <w:t xml:space="preserve">más preguntado</w:t>
      </w:r>
      <w:r>
        <w:t xml:space="preserve"> de todo el tema, por su carácter numérico y objetivable.</w:t>
      </w:r>
    </w:p>
    <w:p>
      <w:pPr>
        <w:pStyle w:val="Heading4"/>
        <w:spacing w:after="80" w:before="150"/>
      </w:pPr>
      <w:r>
        <w:t xml:space="preserve">4.1. Escala numérica de 0 a 10</w:t>
      </w:r>
    </w:p>
    <w:p>
      <w:pPr>
        <w:spacing w:after="120"/>
        <w:jc w:val="both"/>
      </w:pPr>
      <w:r>
        <w:t xml:space="preserve">Los resultados obtenidos por el alumno en cada una de las materias del plan de estudios se calificarán en función de la siguiente </w:t>
      </w:r>
      <w:r>
        <w:rPr>
          <w:b/>
          <w:bCs/>
        </w:rPr>
        <w:t xml:space="preserve">escala numérica de 0 a 10</w:t>
      </w:r>
      <w:r>
        <w:t xml:space="preserve">, con expresión de un decimal, a la que podrá añadirse su correspondiente </w:t>
      </w:r>
      <w:r>
        <w:rPr>
          <w:b/>
          <w:bCs/>
        </w:rPr>
        <w:t xml:space="preserve">calificación cualitativa</w:t>
      </w:r>
      <w:r>
        <w:t xml:space="preserve">:</w:t>
      </w:r>
    </w:p>
    <w:p>
      <w:pPr>
        <w:spacing w:after="120"/>
        <w:jc w:val="both"/>
      </w:pPr>
      <w:r>
        <w:t xml:space="preserve">| Rango numérico | Calificación cualitativa |</w:t>
      </w:r>
    </w:p>
    <w:p>
      <w:pPr>
        <w:spacing w:after="120"/>
        <w:jc w:val="both"/>
      </w:pPr>
      <w:r>
        <w:t xml:space="preserve">|---|---|</w:t>
      </w:r>
    </w:p>
    <w:p>
      <w:pPr>
        <w:spacing w:after="120"/>
        <w:jc w:val="both"/>
      </w:pPr>
      <w:r>
        <w:t xml:space="preserve">| 0 – 4,9 | Suspenso (SS) |</w:t>
      </w:r>
    </w:p>
    <w:p>
      <w:pPr>
        <w:spacing w:after="120"/>
        <w:jc w:val="both"/>
      </w:pPr>
      <w:r>
        <w:t xml:space="preserve">| 5,0 – 6,9 | Aprobado (AP) |</w:t>
      </w:r>
    </w:p>
    <w:p>
      <w:pPr>
        <w:spacing w:after="120"/>
        <w:jc w:val="both"/>
      </w:pPr>
      <w:r>
        <w:t xml:space="preserve">| 7,0 – 8,9 | Notable (NT) |</w:t>
      </w:r>
    </w:p>
    <w:p>
      <w:pPr>
        <w:spacing w:after="120"/>
        <w:jc w:val="both"/>
      </w:pPr>
      <w:r>
        <w:t xml:space="preserve">| 9,0 – 10 | Sobresaliente (SB) |</w:t>
      </w:r>
    </w:p>
    <w:p>
      <w:pPr>
        <w:spacing w:after="120"/>
        <w:jc w:val="both"/>
      </w:pPr>
      <w:r>
        <w:t xml:space="preserve">⚠️ </w:t>
      </w:r>
      <w:r>
        <w:rPr>
          <w:b/>
          <w:bCs/>
        </w:rPr>
        <w:t xml:space="preserve">MUY PREGUNTADO EN EXAMEN</w:t>
      </w:r>
      <w:r>
        <w:t xml:space="preserve">: Los cuatro tramos y sus siglas (SS, AP, NT, SB) son constantemente objeto de preguntas de examen, especialmente los </w:t>
      </w:r>
      <w:r>
        <w:rPr>
          <w:b/>
          <w:bCs/>
        </w:rPr>
        <w:t xml:space="preserve">valores frontera</w:t>
      </w:r>
      <w:r>
        <w:t xml:space="preserve">: ¿un 4,9 es suspenso o aprobado? (suspenso). ¿Un 6,9 es aprobado o notable? (aprobado). ¿Un 9,0 es notable o sobresaliente? (sobresaliente, porque el tramo empieza exactamente en 9,0).</w:t>
      </w:r>
    </w:p>
    <w:p>
      <w:pPr>
        <w:spacing w:after="120"/>
        <w:jc w:val="both"/>
      </w:pPr>
      <w:r>
        <w:rPr>
          <w:b/>
          <w:bCs/>
        </w:rPr>
        <w:t xml:space="preserve">Ejemplo práctico</w:t>
      </w:r>
      <w:r>
        <w:t xml:space="preserve">: Un alumno que obtiene un 8,3 en una asignatura tiene la calificación cualitativa de </w:t>
      </w:r>
      <w:r>
        <w:rPr>
          <w:b/>
          <w:bCs/>
        </w:rPr>
        <w:t xml:space="preserve">Notable (NT)</w:t>
      </w:r>
      <w:r>
        <w:t xml:space="preserve">. Un alumno con 6,95 (si se admitiera esa precisión) estaría en Aprobado, porque el tramo de Notable empieza en 7,0 exactos.</w:t>
      </w:r>
    </w:p>
    <w:p>
      <w:pPr>
        <w:pStyle w:val="Heading4"/>
        <w:spacing w:after="80" w:before="150"/>
      </w:pPr>
      <w:r>
        <w:t xml:space="preserve">4.2. La Matrícula de Honor</w:t>
      </w:r>
    </w:p>
    <w:p>
      <w:pPr>
        <w:spacing w:after="120"/>
        <w:jc w:val="both"/>
      </w:pPr>
      <w:r>
        <w:t xml:space="preserve">La </w:t>
      </w:r>
      <w:r>
        <w:rPr>
          <w:b/>
          <w:bCs/>
        </w:rPr>
        <w:t xml:space="preserve">Mención de Matrícula de Honor</w:t>
      </w:r>
      <w:r>
        <w:t xml:space="preserve"> podrá ser otorgada a alumnos que hayan obtenido una calificación </w:t>
      </w:r>
      <w:r>
        <w:rPr>
          <w:b/>
          <w:bCs/>
        </w:rPr>
        <w:t xml:space="preserve">igual o superior a 9,0</w:t>
      </w:r>
      <w:r>
        <w:t xml:space="preserve"> (es decir, dentro del tramo de Sobresaliente). Su número </w:t>
      </w:r>
      <w:r>
        <w:rPr>
          <w:b/>
          <w:bCs/>
        </w:rPr>
        <w:t xml:space="preserve">no podrá exceder del 5 % de los alumnos matriculados</w:t>
      </w:r>
      <w:r>
        <w:t xml:space="preserve"> en una materia en el correspondiente curso académico, </w:t>
      </w:r>
      <w:r>
        <w:rPr>
          <w:b/>
          <w:bCs/>
        </w:rPr>
        <w:t xml:space="preserve">salvo que el número de alumnos matriculados sea inferior a 20</w:t>
      </w:r>
      <w:r>
        <w:t xml:space="preserve">, en cuyo caso se podrá conceder </w:t>
      </w:r>
      <w:r>
        <w:rPr>
          <w:b/>
          <w:bCs/>
        </w:rPr>
        <w:t xml:space="preserve">una sola Matrícula de Honor</w:t>
      </w:r>
      <w:r>
        <w:t xml:space="preserve">.</w:t>
      </w:r>
    </w:p>
    <w:p>
      <w:pPr>
        <w:spacing w:after="120"/>
        <w:jc w:val="both"/>
      </w:pPr>
      <w:r>
        <w:t xml:space="preserve">⚠️ </w:t>
      </w:r>
      <w:r>
        <w:rPr>
          <w:b/>
          <w:bCs/>
        </w:rPr>
        <w:t xml:space="preserve">MUY PREGUNTADO EN EXAMEN</w:t>
      </w:r>
      <w:r>
        <w:t xml:space="preserve">: Este es probablemente el dato más rentable de memorizar de todo el tema. Fórmula clave:</w:t>
      </w:r>
    </w:p>
    <w:p>
      <w:pPr>
        <w:pStyle w:val="ListParagraph"/>
        <w:numPr>
          <w:ilvl w:val="0"/>
          <w:numId w:val="3"/>
        </w:numPr>
        <w:spacing w:after="60"/>
      </w:pPr>
      <w:r>
        <w:t xml:space="preserve">Regla general: </w:t>
      </w:r>
      <w:r>
        <w:rPr>
          <w:b/>
          <w:bCs/>
        </w:rPr>
        <w:t xml:space="preserve">5 % de los matriculados</w:t>
      </w:r>
      <w:r>
        <w:t xml:space="preserve"> (redondeando, normalmente, a la baja el resultado, salvo criterio distinto de la universidad).</w:t>
      </w:r>
    </w:p>
    <w:p>
      <w:pPr>
        <w:pStyle w:val="ListParagraph"/>
        <w:numPr>
          <w:ilvl w:val="0"/>
          <w:numId w:val="3"/>
        </w:numPr>
        <w:spacing w:after="60"/>
      </w:pPr>
      <w:r>
        <w:t xml:space="preserve">Excepción: si hay </w:t>
      </w:r>
      <w:r>
        <w:rPr>
          <w:b/>
          <w:bCs/>
        </w:rPr>
        <w:t xml:space="preserve">menos de 20 matriculados</w:t>
      </w:r>
      <w:r>
        <w:t xml:space="preserve">, se puede conceder </w:t>
      </w:r>
      <w:r>
        <w:rPr>
          <w:b/>
          <w:bCs/>
        </w:rPr>
        <w:t xml:space="preserve">1 Matrícula de Honor</w:t>
      </w:r>
      <w:r>
        <w:t xml:space="preserve">, aunque el 5 % de ese grupo dé una cifra inferior a 1.</w:t>
      </w:r>
    </w:p>
    <w:p>
      <w:pPr>
        <w:spacing w:after="120"/>
        <w:jc w:val="both"/>
      </w:pPr>
      <w:r>
        <w:rPr>
          <w:b/>
          <w:bCs/>
        </w:rPr>
        <w:t xml:space="preserve">Ejemplos de cálculo (muy típicos en el test)</w:t>
      </w:r>
      <w:r>
        <w:t xml:space="preserve">:</w:t>
      </w:r>
    </w:p>
    <w:p>
      <w:pPr>
        <w:pStyle w:val="ListParagraph"/>
        <w:numPr>
          <w:ilvl w:val="0"/>
          <w:numId w:val="3"/>
        </w:numPr>
        <w:spacing w:after="60"/>
      </w:pPr>
      <w:r>
        <w:t xml:space="preserve">Grupo de 100 matriculados → 5 % = </w:t>
      </w:r>
      <w:r>
        <w:rPr>
          <w:b/>
          <w:bCs/>
        </w:rPr>
        <w:t xml:space="preserve">5 Matrículas de Honor</w:t>
      </w:r>
      <w:r>
        <w:t xml:space="preserve"> como máximo.</w:t>
      </w:r>
    </w:p>
    <w:p>
      <w:pPr>
        <w:pStyle w:val="ListParagraph"/>
        <w:numPr>
          <w:ilvl w:val="0"/>
          <w:numId w:val="3"/>
        </w:numPr>
        <w:spacing w:after="60"/>
      </w:pPr>
      <w:r>
        <w:t xml:space="preserve">Grupo de 45 matriculados → 5 % = 2,25 → se pueden conceder </w:t>
      </w:r>
      <w:r>
        <w:rPr>
          <w:b/>
          <w:bCs/>
        </w:rPr>
        <w:t xml:space="preserve">2 Matrículas de Honor</w:t>
      </w:r>
      <w:r>
        <w:t xml:space="preserve"> (no 2,25; se trabaja con número entero).</w:t>
      </w:r>
    </w:p>
    <w:p>
      <w:pPr>
        <w:pStyle w:val="ListParagraph"/>
        <w:numPr>
          <w:ilvl w:val="0"/>
          <w:numId w:val="3"/>
        </w:numPr>
        <w:spacing w:after="60"/>
      </w:pPr>
      <w:r>
        <w:t xml:space="preserve">Grupo de 19 matriculados (menos de 20) → aunque el 5 % daría 0,95, se puede conceder </w:t>
      </w:r>
      <w:r>
        <w:rPr>
          <w:b/>
          <w:bCs/>
        </w:rPr>
        <w:t xml:space="preserve">1 Matrícula de Honor</w:t>
      </w:r>
      <w:r>
        <w:t xml:space="preserve">.</w:t>
      </w:r>
    </w:p>
    <w:p>
      <w:pPr>
        <w:pStyle w:val="ListParagraph"/>
        <w:numPr>
          <w:ilvl w:val="0"/>
          <w:numId w:val="3"/>
        </w:numPr>
        <w:spacing w:after="60"/>
      </w:pPr>
      <w:r>
        <w:t xml:space="preserve">Grupo de 20 matriculados exactos → como </w:t>
      </w:r>
      <w:r>
        <w:rPr>
          <w:b/>
          <w:bCs/>
        </w:rPr>
        <w:t xml:space="preserve">no es inferior a 20</w:t>
      </w:r>
      <w:r>
        <w:t xml:space="preserve">, se aplica la regla general del 5 %: 20 × 0,05 = </w:t>
      </w:r>
      <w:r>
        <w:rPr>
          <w:b/>
          <w:bCs/>
        </w:rPr>
        <w:t xml:space="preserve">1 Matrícula de Honor</w:t>
      </w:r>
      <w:r>
        <w:t xml:space="preserve"> (coincide, pero por la vía general, no por la excepción).</w:t>
      </w:r>
    </w:p>
    <w:p>
      <w:pPr>
        <w:spacing w:after="120"/>
        <w:jc w:val="both"/>
      </w:pPr>
      <w:r>
        <w:t xml:space="preserve">Es importante distinguir: la Matrícula de Honor es una </w:t>
      </w:r>
      <w:r>
        <w:rPr>
          <w:b/>
          <w:bCs/>
        </w:rPr>
        <w:t xml:space="preserve">mención honorífica</w:t>
      </w:r>
      <w:r>
        <w:t xml:space="preserve"> añadida a la calificación de Sobresaliente (10 o ≥9,0), no una calificación numérica distinta. Además, en muchas universidades, la Matrícula de Honor exime del pago de los créditos correspondientes en la siguiente matrícula (esto es una consecuencia de normativa de precios públicos, no del propio RD 1125/2003, pero conviene tenerlo presente para no confundir su origen normativo).</w:t>
      </w:r>
    </w:p>
    <w:p>
      <w:pPr>
        <w:pStyle w:val="Heading4"/>
        <w:spacing w:after="80" w:before="150"/>
      </w:pPr>
      <w:r>
        <w:t xml:space="preserve">4.3. Otras menciones y anotaciones en el expediente</w:t>
      </w:r>
    </w:p>
    <w:p>
      <w:pPr>
        <w:spacing w:after="120"/>
        <w:jc w:val="both"/>
      </w:pPr>
      <w:r>
        <w:t xml:space="preserve">Junto a la calificación numérica y cualitativa, en el expediente académico del estudiante deberán figurar, además de las calificaciones obtenidas en todas las materias superadas, otras circunstancias académicas como el </w:t>
      </w:r>
      <w:r>
        <w:rPr>
          <w:b/>
          <w:bCs/>
        </w:rPr>
        <w:t xml:space="preserve">"No presentado"</w:t>
      </w:r>
      <w:r>
        <w:t xml:space="preserve">, la </w:t>
      </w:r>
      <w:r>
        <w:rPr>
          <w:b/>
          <w:bCs/>
        </w:rPr>
        <w:t xml:space="preserve">convalidación</w:t>
      </w:r>
      <w:r>
        <w:t xml:space="preserve">, la </w:t>
      </w:r>
      <w:r>
        <w:rPr>
          <w:b/>
          <w:bCs/>
        </w:rPr>
        <w:t xml:space="preserve">adaptación</w:t>
      </w:r>
      <w:r>
        <w:t xml:space="preserve">, el </w:t>
      </w:r>
      <w:r>
        <w:rPr>
          <w:b/>
          <w:bCs/>
        </w:rPr>
        <w:t xml:space="preserve">reconocimiento de créditos</w:t>
      </w:r>
      <w:r>
        <w:t xml:space="preserve">, etc.</w:t>
      </w:r>
    </w:p>
    <w:p>
      <w:pPr>
        <w:spacing w:after="120"/>
        <w:jc w:val="both"/>
      </w:pPr>
      <w:r>
        <w:t xml:space="preserve">⚠️ </w:t>
      </w:r>
      <w:r>
        <w:rPr>
          <w:b/>
          <w:bCs/>
        </w:rPr>
        <w:t xml:space="preserve">MUY PREGUNTADO EN EXAMEN</w:t>
      </w:r>
      <w:r>
        <w:t xml:space="preserve">: El "No presentado" </w:t>
      </w:r>
      <w:r>
        <w:rPr>
          <w:b/>
          <w:bCs/>
        </w:rPr>
        <w:t xml:space="preserve">no se computa como suspenso a efectos de nota media</w:t>
      </w:r>
      <w:r>
        <w:t xml:space="preserve"> ni se le asigna valor numérico dentro de la escala 0-10; es una circunstancia distinta que se anota en el expediente pero que queda fuera del cálculo de la media (salvo que la propia universidad, en su normativa de desarrollo, establezca lo contrario para casos concretos).</w:t>
      </w:r>
    </w:p>
    <w:p>
      <w:pPr>
        <w:pBdr>
          <w:bottom w:val="single" w:color="AAAAAA" w:sz="6" w:space="1"/>
        </w:pBdr>
        <w:spacing w:after="200"/>
      </w:pPr>
    </w:p>
    <w:p>
      <w:pPr>
        <w:pStyle w:val="Heading3"/>
        <w:spacing w:after="100" w:before="200"/>
      </w:pPr>
      <w:r>
        <w:t xml:space="preserve">5. Cálculo de la nota media del expediente académico (artículo 5)</w:t>
      </w:r>
    </w:p>
    <w:p>
      <w:pPr>
        <w:spacing w:after="120"/>
        <w:jc w:val="both"/>
      </w:pPr>
      <w:r>
        <w:t xml:space="preserve">Este es otro de los puntos más "matemáticos" del tema y, por tanto, muy susceptible de generar preguntas de cálculo práctico.</w:t>
      </w:r>
    </w:p>
    <w:p>
      <w:pPr>
        <w:pStyle w:val="Heading4"/>
        <w:spacing w:after="80" w:before="150"/>
      </w:pPr>
      <w:r>
        <w:t xml:space="preserve">5.1. Fórmula legal</w:t>
      </w:r>
    </w:p>
    <w:p>
      <w:pPr>
        <w:spacing w:after="120"/>
        <w:jc w:val="both"/>
      </w:pPr>
      <w:r>
        <w:t xml:space="preserve">La </w:t>
      </w:r>
      <w:r>
        <w:rPr>
          <w:b/>
          <w:bCs/>
        </w:rPr>
        <w:t xml:space="preserve">nota media del expediente académico</w:t>
      </w:r>
      <w:r>
        <w:t xml:space="preserve"> de cada alumno será el resultado de aplicar la siguiente fórmula:</w:t>
      </w:r>
    </w:p>
    <w:p>
      <w:pPr>
        <w:spacing w:after="120"/>
        <w:jc w:val="both"/>
      </w:pPr>
      <w:r>
        <w:t xml:space="preserve">&gt; </w:t>
      </w:r>
      <w:r>
        <w:rPr>
          <w:b/>
          <w:bCs/>
        </w:rPr>
        <w:t xml:space="preserve">Suma de los créditos obtenidos por el alumno, multiplicado cada uno de ellos por el valor de la calificación que corresponda, dividida por el número de créditos totales obtenidos por el alumno.</w:t>
      </w:r>
    </w:p>
    <w:p>
      <w:pPr>
        <w:spacing w:after="120"/>
        <w:jc w:val="both"/>
      </w:pPr>
      <w:r>
        <w:t xml:space="preserve">Expresado como fórmula:</w:t>
      </w:r>
    </w:p>
    <w:p>
      <w:pPr>
        <w:spacing w:after="120"/>
        <w:jc w:val="both"/>
      </w:pPr>
      <w:r>
        <w:rPr>
          <w:b/>
          <w:bCs/>
        </w:rPr>
        <w:t xml:space="preserve">Nota media = (Σ [créditos de cada asignatura × calificación numérica obtenida]) / (Σ créditos totales)</w:t>
      </w:r>
    </w:p>
    <w:p>
      <w:pPr>
        <w:pStyle w:val="Heading4"/>
        <w:spacing w:after="80" w:before="150"/>
      </w:pPr>
      <w:r>
        <w:t xml:space="preserve">5.2. Ejemplo práctico de cálculo (muy recomendable memorizar el procedimiento)</w:t>
      </w:r>
    </w:p>
    <w:p>
      <w:pPr>
        <w:spacing w:after="120"/>
        <w:jc w:val="both"/>
      </w:pPr>
      <w:r>
        <w:t xml:space="preserve">Supongamos un alumno con las siguientes asignaturas:</w:t>
      </w:r>
    </w:p>
    <w:p>
      <w:pPr>
        <w:spacing w:after="120"/>
        <w:jc w:val="both"/>
      </w:pPr>
      <w:r>
        <w:t xml:space="preserve">| Asignatura | Créditos | Calificación |</w:t>
      </w:r>
    </w:p>
    <w:p>
      <w:pPr>
        <w:spacing w:after="120"/>
        <w:jc w:val="both"/>
      </w:pPr>
      <w:r>
        <w:t xml:space="preserve">|---|---|---|</w:t>
      </w:r>
    </w:p>
    <w:p>
      <w:pPr>
        <w:spacing w:after="120"/>
        <w:jc w:val="both"/>
      </w:pPr>
      <w:r>
        <w:t xml:space="preserve">| A | 6 | 7,0 |</w:t>
      </w:r>
    </w:p>
    <w:p>
      <w:pPr>
        <w:spacing w:after="120"/>
        <w:jc w:val="both"/>
      </w:pPr>
      <w:r>
        <w:t xml:space="preserve">| B | 6 | 5,5 |</w:t>
      </w:r>
    </w:p>
    <w:p>
      <w:pPr>
        <w:spacing w:after="120"/>
        <w:jc w:val="both"/>
      </w:pPr>
      <w:r>
        <w:t xml:space="preserve">| C | 3 | 9,0 |</w:t>
      </w:r>
    </w:p>
    <w:p>
      <w:pPr>
        <w:spacing w:after="120"/>
        <w:jc w:val="both"/>
      </w:pPr>
      <w:r>
        <w:t xml:space="preserve">| D | 6 | 6,0 |</w:t>
      </w:r>
    </w:p>
    <w:p>
      <w:pPr>
        <w:spacing w:after="120"/>
        <w:jc w:val="both"/>
      </w:pPr>
      <w:r>
        <w:t xml:space="preserve">Cálculo:</w:t>
      </w:r>
    </w:p>
    <w:p>
      <w:pPr>
        <w:pStyle w:val="ListParagraph"/>
        <w:numPr>
          <w:ilvl w:val="0"/>
          <w:numId w:val="3"/>
        </w:numPr>
        <w:spacing w:after="60"/>
      </w:pPr>
      <w:r>
        <w:t xml:space="preserve">A: 6 × 7,0 = 42</w:t>
      </w:r>
    </w:p>
    <w:p>
      <w:pPr>
        <w:pStyle w:val="ListParagraph"/>
        <w:numPr>
          <w:ilvl w:val="0"/>
          <w:numId w:val="3"/>
        </w:numPr>
        <w:spacing w:after="60"/>
      </w:pPr>
      <w:r>
        <w:t xml:space="preserve">B: 6 × 5,5 = 33</w:t>
      </w:r>
    </w:p>
    <w:p>
      <w:pPr>
        <w:pStyle w:val="ListParagraph"/>
        <w:numPr>
          <w:ilvl w:val="0"/>
          <w:numId w:val="3"/>
        </w:numPr>
        <w:spacing w:after="60"/>
      </w:pPr>
      <w:r>
        <w:t xml:space="preserve">C: 3 × 9,0 = 27</w:t>
      </w:r>
    </w:p>
    <w:p>
      <w:pPr>
        <w:pStyle w:val="ListParagraph"/>
        <w:numPr>
          <w:ilvl w:val="0"/>
          <w:numId w:val="3"/>
        </w:numPr>
        <w:spacing w:after="60"/>
      </w:pPr>
      <w:r>
        <w:t xml:space="preserve">D: 6 × 6,0 = 36</w:t>
      </w:r>
    </w:p>
    <w:p>
      <w:pPr>
        <w:spacing w:after="120"/>
        <w:jc w:val="both"/>
      </w:pPr>
      <w:r>
        <w:t xml:space="preserve">Suma de productos = 42 + 33 + 27 + 36 = </w:t>
      </w:r>
      <w:r>
        <w:rPr>
          <w:b/>
          <w:bCs/>
        </w:rPr>
        <w:t xml:space="preserve">138</w:t>
      </w:r>
    </w:p>
    <w:p>
      <w:pPr>
        <w:spacing w:after="120"/>
        <w:jc w:val="both"/>
      </w:pPr>
      <w:r>
        <w:t xml:space="preserve">Suma de créditos = 6 + 6 + 3 + 6 = </w:t>
      </w:r>
      <w:r>
        <w:rPr>
          <w:b/>
          <w:bCs/>
        </w:rPr>
        <w:t xml:space="preserve">21</w:t>
      </w:r>
    </w:p>
    <w:p>
      <w:pPr>
        <w:spacing w:after="120"/>
        <w:jc w:val="both"/>
      </w:pPr>
      <w:r>
        <w:t xml:space="preserve">Nota media = 138 / 21 = </w:t>
      </w:r>
      <w:r>
        <w:rPr>
          <w:b/>
          <w:bCs/>
        </w:rPr>
        <w:t xml:space="preserve">6,57</w:t>
      </w:r>
    </w:p>
    <w:p>
      <w:pPr>
        <w:spacing w:after="120"/>
        <w:jc w:val="both"/>
      </w:pPr>
      <w:r>
        <w:t xml:space="preserve">⚠️ </w:t>
      </w:r>
      <w:r>
        <w:rPr>
          <w:b/>
          <w:bCs/>
        </w:rPr>
        <w:t xml:space="preserve">MUY PREGUNTADO EN EXAMEN</w:t>
      </w:r>
      <w:r>
        <w:t xml:space="preserve">: Fijarse en que la media </w:t>
      </w:r>
      <w:r>
        <w:rPr>
          <w:b/>
          <w:bCs/>
        </w:rPr>
        <w:t xml:space="preserve">se pondera por créditos</w:t>
      </w:r>
      <w:r>
        <w:t xml:space="preserve">, no es una media aritmética simple de las calificaciones. Una asignatura de 12 créditos con un 5 "pesa" más en la media que una de 3 créditos con un 9. Este matiz es un clásico "truco" de examen: si preguntan la media simple (sumar notas y dividir entre número de asignaturas) frente a la media ponderada por créditos, </w:t>
      </w:r>
      <w:r>
        <w:rPr>
          <w:b/>
          <w:bCs/>
        </w:rPr>
        <w:t xml:space="preserve">la correcta legalmente es la ponderada por créditos</w:t>
      </w:r>
      <w:r>
        <w:t xml:space="preserve">.</w:t>
      </w:r>
    </w:p>
    <w:p>
      <w:pPr>
        <w:spacing w:after="120"/>
        <w:jc w:val="both"/>
      </w:pPr>
      <w:r>
        <w:rPr>
          <w:b/>
          <w:bCs/>
        </w:rPr>
        <w:t xml:space="preserve">Matiz importante</w:t>
      </w:r>
      <w:r>
        <w:t xml:space="preserve">: la fórmula habla de créditos </w:t>
      </w:r>
      <w:r>
        <w:rPr>
          <w:b/>
          <w:bCs/>
        </w:rPr>
        <w:t xml:space="preserve">"obtenidos"</w:t>
      </w:r>
      <w:r>
        <w:t xml:space="preserve"> (es decir, superados/computados en el expediente), lo que en la práctica de gestión académica suele incluir tanto las asignaturas aprobadas como, en función del desarrollo normativo de cada universidad, las suspensas computadas con su calificación numérica (ya que se calcula sobre el total del expediente, incluyendo suspensos, para reflejar el rendimiento global). El "No presentado" queda excluido del cómputo.</w:t>
      </w:r>
    </w:p>
    <w:p>
      <w:pPr>
        <w:pBdr>
          <w:bottom w:val="single" w:color="AAAAAA" w:sz="6" w:space="1"/>
        </w:pBdr>
        <w:spacing w:after="200"/>
      </w:pPr>
    </w:p>
    <w:p>
      <w:pPr>
        <w:pStyle w:val="Heading3"/>
        <w:spacing w:after="100" w:before="200"/>
      </w:pPr>
      <w:r>
        <w:t xml:space="preserve">6. Otras disposiciones relevantes</w:t>
      </w:r>
    </w:p>
    <w:p>
      <w:pPr>
        <w:spacing w:after="120"/>
        <w:jc w:val="both"/>
      </w:pPr>
      <w:r>
        <w:t xml:space="preserve">Aunque el peso del tema recae en los artículos 3, 4 y 5, conviene tener una visión general del resto de la norma:</w:t>
      </w:r>
    </w:p>
    <w:p>
      <w:pPr>
        <w:pStyle w:val="ListParagraph"/>
        <w:numPr>
          <w:ilvl w:val="0"/>
          <w:numId w:val="3"/>
        </w:numPr>
        <w:spacing w:after="60"/>
      </w:pPr>
      <w:r>
        <w:rPr>
          <w:b/>
          <w:bCs/>
        </w:rPr>
        <w:t xml:space="preserve">Artículo 2</w:t>
      </w:r>
      <w:r>
        <w:t xml:space="preserve"> (ámbito de aplicación): la norma se aplica a las enseñanzas universitarias de carácter oficial y validez en todo el territorio nacional.</w:t>
      </w:r>
    </w:p>
    <w:p>
      <w:pPr>
        <w:pStyle w:val="ListParagraph"/>
        <w:numPr>
          <w:ilvl w:val="0"/>
          <w:numId w:val="3"/>
        </w:numPr>
        <w:spacing w:after="60"/>
      </w:pPr>
      <w:r>
        <w:rPr>
          <w:b/>
          <w:bCs/>
        </w:rPr>
        <w:t xml:space="preserve">Artículos 6, 7 y 8</w:t>
      </w:r>
      <w:r>
        <w:t xml:space="preserve">: desarrollan cuestiones de aplicación y desarrollo del sistema (competencias de las universidades para concretar determinados aspectos dentro de los márgenes fijados por el Real Decreto, adaptación de los planes de estudio existentes, etc.).</w:t>
      </w:r>
    </w:p>
    <w:p>
      <w:pPr>
        <w:pStyle w:val="ListParagraph"/>
        <w:numPr>
          <w:ilvl w:val="0"/>
          <w:numId w:val="3"/>
        </w:numPr>
        <w:spacing w:after="60"/>
      </w:pPr>
      <w:r>
        <w:rPr>
          <w:b/>
          <w:bCs/>
        </w:rPr>
        <w:t xml:space="preserve">Disposición adicional</w:t>
      </w:r>
      <w:r>
        <w:t xml:space="preserve">: previsiones de adaptación para determinados estudios.</w:t>
      </w:r>
    </w:p>
    <w:p>
      <w:pPr>
        <w:pStyle w:val="ListParagraph"/>
        <w:numPr>
          <w:ilvl w:val="0"/>
          <w:numId w:val="3"/>
        </w:numPr>
        <w:spacing w:after="60"/>
      </w:pPr>
      <w:r>
        <w:rPr>
          <w:b/>
          <w:bCs/>
        </w:rPr>
        <w:t xml:space="preserve">Disposición transitoria</w:t>
      </w:r>
      <w:r>
        <w:t xml:space="preserve">: régimen aplicable durante el periodo de implantación progresiva del sistema, respetando los derechos de los estudiantes que cursaban estudios con el sistema de créditos anterior (LRU).</w:t>
      </w:r>
    </w:p>
    <w:p>
      <w:pPr>
        <w:pStyle w:val="ListParagraph"/>
        <w:numPr>
          <w:ilvl w:val="0"/>
          <w:numId w:val="3"/>
        </w:numPr>
        <w:spacing w:after="60"/>
      </w:pPr>
      <w:r>
        <w:rPr>
          <w:b/>
          <w:bCs/>
        </w:rPr>
        <w:t xml:space="preserve">Disposición derogatoria</w:t>
      </w:r>
      <w:r>
        <w:t xml:space="preserve">: deroga las disposiciones de igual o inferior rango que se opongan a lo establecido en el Real Decreto.</w:t>
      </w:r>
    </w:p>
    <w:p>
      <w:pPr>
        <w:pStyle w:val="ListParagraph"/>
        <w:numPr>
          <w:ilvl w:val="0"/>
          <w:numId w:val="3"/>
        </w:numPr>
        <w:spacing w:after="60"/>
      </w:pPr>
      <w:r>
        <w:rPr>
          <w:b/>
          <w:bCs/>
        </w:rPr>
        <w:t xml:space="preserve">Disposiciones finales</w:t>
      </w:r>
      <w:r>
        <w:t xml:space="preserve">: título competencial (se dicta al amparo del artículo 149.1.30ª de la Constitución Española, que atribuye al Estado competencia exclusiva sobre la regulación de las condiciones de obtención, expedición y homologación de títulos académicos y profesionales) y entrada en vigor.</w:t>
      </w:r>
    </w:p>
    <w:p>
      <w:pPr>
        <w:spacing w:after="120"/>
        <w:jc w:val="both"/>
      </w:pPr>
      <w:r>
        <w:t xml:space="preserve">⚠️ </w:t>
      </w:r>
      <w:r>
        <w:rPr>
          <w:b/>
          <w:bCs/>
        </w:rPr>
        <w:t xml:space="preserve">MUY PREGUNTADO EN EXAMEN</w:t>
      </w:r>
      <w:r>
        <w:t xml:space="preserve">: El título competencial que ampara esta norma (art. 149.1.30ª CE) suele aparecer como pregunta "de repaso constitucional" cruzada con este tema.</w:t>
      </w:r>
    </w:p>
    <w:p>
      <w:pPr>
        <w:pBdr>
          <w:bottom w:val="single" w:color="AAAAAA" w:sz="6" w:space="1"/>
        </w:pBdr>
        <w:spacing w:after="200"/>
      </w:pPr>
    </w:p>
    <w:p>
      <w:pPr>
        <w:pStyle w:val="Heading3"/>
        <w:spacing w:after="100" w:before="200"/>
      </w:pPr>
      <w:r>
        <w:t xml:space="preserve">7. Relación con otras normas del temario</w:t>
      </w:r>
    </w:p>
    <w:p>
      <w:pPr>
        <w:spacing w:after="120"/>
        <w:jc w:val="both"/>
      </w:pPr>
      <w:r>
        <w:t xml:space="preserve">Es muy importante situar el RD 1125/2003 dentro del "mapa normativo" de la ordenación universitaria, porque los exámenes de oposición suelen tender trampas entre normas parecidas:</w:t>
      </w:r>
    </w:p>
    <w:p>
      <w:pPr>
        <w:pStyle w:val="ListParagraph"/>
        <w:numPr>
          <w:ilvl w:val="0"/>
          <w:numId w:val="3"/>
        </w:numPr>
        <w:spacing w:after="60"/>
      </w:pPr>
      <w:r>
        <w:rPr>
          <w:b/>
          <w:bCs/>
        </w:rPr>
        <w:t xml:space="preserve">RD 1125/2003</w:t>
      </w:r>
      <w:r>
        <w:t xml:space="preserve">: sistema de créditos ECTS y sistema de calificaciones (el que nos ocupa).</w:t>
      </w:r>
    </w:p>
    <w:p>
      <w:pPr>
        <w:pStyle w:val="ListParagraph"/>
        <w:numPr>
          <w:ilvl w:val="0"/>
          <w:numId w:val="3"/>
        </w:numPr>
        <w:spacing w:after="60"/>
      </w:pPr>
      <w:r>
        <w:rPr>
          <w:b/>
          <w:bCs/>
        </w:rPr>
        <w:t xml:space="preserve">RD 1044/2003</w:t>
      </w:r>
      <w:r>
        <w:t xml:space="preserve">: Suplemento Europeo al Título (documento informativo que acompaña al título universitario, en el marco del mismo proceso de convergencia europea).</w:t>
      </w:r>
    </w:p>
    <w:p>
      <w:pPr>
        <w:pStyle w:val="ListParagraph"/>
        <w:numPr>
          <w:ilvl w:val="0"/>
          <w:numId w:val="3"/>
        </w:numPr>
        <w:spacing w:after="60"/>
      </w:pPr>
      <w:r>
        <w:rPr>
          <w:b/>
          <w:bCs/>
        </w:rPr>
        <w:t xml:space="preserve">RD 1393/2007</w:t>
      </w:r>
      <w:r>
        <w:t xml:space="preserve"> (y sus modificaciones): establece la ordenación de las enseñanzas universitarias oficiales en la estructura de Grado, Máster y Doctorado (Plan Bolonia), y es el que fija, por ejemplo, los 60 créditos/curso y los 240 créditos para un Grado de 4 años, apoyándose en la unidad de medida que ya había creado el RD 1125/2003.</w:t>
      </w:r>
    </w:p>
    <w:p>
      <w:pPr>
        <w:pStyle w:val="ListParagraph"/>
        <w:numPr>
          <w:ilvl w:val="0"/>
          <w:numId w:val="3"/>
        </w:numPr>
        <w:spacing w:after="60"/>
      </w:pPr>
      <w:r>
        <w:rPr>
          <w:b/>
          <w:bCs/>
        </w:rPr>
        <w:t xml:space="preserve">LOU (Ley Orgánica 6/2001, de Universidades)</w:t>
      </w:r>
      <w:r>
        <w:t xml:space="preserve"> y sus reformas: marco legal superior del que trae causa el desarrollo reglamentario del RD 1125/2003.</w:t>
      </w:r>
    </w:p>
    <w:p>
      <w:pPr>
        <w:spacing w:after="120"/>
        <w:jc w:val="both"/>
      </w:pPr>
      <w:r>
        <w:t xml:space="preserve">⚠️ </w:t>
      </w:r>
      <w:r>
        <w:rPr>
          <w:b/>
          <w:bCs/>
        </w:rPr>
        <w:t xml:space="preserve">MUY PREGUNTADO EN EXAMEN</w:t>
      </w:r>
      <w:r>
        <w:t xml:space="preserve">: No confundir el RD 1125/2003 (créditos y calificaciones) con el RD 1044/2003 (Suplemento Europeo al Título) ni con el RD 1393/2007 (estructura de Grado/Máster/Doctorado). Es un error muy habitual en los distractores de las preguntas tipo test.</w:t>
      </w:r>
    </w:p>
    <w:p>
      <w:pPr>
        <w:pBdr>
          <w:bottom w:val="single" w:color="AAAAAA" w:sz="6" w:space="1"/>
        </w:pBdr>
        <w:spacing w:after="200"/>
      </w:pPr>
    </w:p>
    <w:p>
      <w:pPr>
        <w:pStyle w:val="Heading3"/>
        <w:spacing w:after="100" w:before="200"/>
      </w:pPr>
      <w:r>
        <w:t xml:space="preserve">8. Resumen de cifras clave para memorizar</w:t>
      </w:r>
    </w:p>
    <w:p>
      <w:pPr>
        <w:spacing w:after="120"/>
        <w:jc w:val="both"/>
      </w:pPr>
      <w:r>
        <w:t xml:space="preserve">Un cuadro final de repaso rápido, ideal para las últimas 24 horas antes del examen:</w:t>
      </w:r>
    </w:p>
    <w:p>
      <w:pPr>
        <w:spacing w:after="120"/>
        <w:jc w:val="both"/>
      </w:pPr>
      <w:r>
        <w:t xml:space="preserve">| Concepto | Cifra clave |</w:t>
      </w:r>
    </w:p>
    <w:p>
      <w:pPr>
        <w:spacing w:after="120"/>
        <w:jc w:val="both"/>
      </w:pPr>
      <w:r>
        <w:t xml:space="preserve">|---|---|</w:t>
      </w:r>
    </w:p>
    <w:p>
      <w:pPr>
        <w:spacing w:after="120"/>
        <w:jc w:val="both"/>
      </w:pPr>
      <w:r>
        <w:t xml:space="preserve">| Horas por crédito europeo | Entre </w:t>
      </w:r>
      <w:r>
        <w:rPr>
          <w:b/>
          <w:bCs/>
        </w:rPr>
        <w:t xml:space="preserve">25 y 30 horas</w:t>
      </w:r>
      <w:r>
        <w:t xml:space="preserve"> |</w:t>
      </w:r>
    </w:p>
    <w:p>
      <w:pPr>
        <w:spacing w:after="120"/>
        <w:jc w:val="both"/>
      </w:pPr>
      <w:r>
        <w:t xml:space="preserve">| Créditos por curso académico completo | </w:t>
      </w:r>
      <w:r>
        <w:rPr>
          <w:b/>
          <w:bCs/>
        </w:rPr>
        <w:t xml:space="preserve">60 créditos</w:t>
      </w:r>
      <w:r>
        <w:t xml:space="preserve"> |</w:t>
      </w:r>
    </w:p>
    <w:p>
      <w:pPr>
        <w:spacing w:after="120"/>
        <w:jc w:val="both"/>
      </w:pPr>
      <w:r>
        <w:t xml:space="preserve">| Semanas lectivas por curso | Entre </w:t>
      </w:r>
      <w:r>
        <w:rPr>
          <w:b/>
          <w:bCs/>
        </w:rPr>
        <w:t xml:space="preserve">36 y 40 semanas</w:t>
      </w:r>
      <w:r>
        <w:t xml:space="preserve"> |</w:t>
      </w:r>
    </w:p>
    <w:p>
      <w:pPr>
        <w:spacing w:after="120"/>
        <w:jc w:val="both"/>
      </w:pPr>
      <w:r>
        <w:t xml:space="preserve">| Escala de calificación | </w:t>
      </w:r>
      <w:r>
        <w:rPr>
          <w:b/>
          <w:bCs/>
        </w:rPr>
        <w:t xml:space="preserve">0 a 10</w:t>
      </w:r>
      <w:r>
        <w:t xml:space="preserve">, con un decimal |</w:t>
      </w:r>
    </w:p>
    <w:p>
      <w:pPr>
        <w:spacing w:after="120"/>
        <w:jc w:val="both"/>
      </w:pPr>
      <w:r>
        <w:t xml:space="preserve">| Suspenso | </w:t>
      </w:r>
      <w:r>
        <w:rPr>
          <w:b/>
          <w:bCs/>
        </w:rPr>
        <w:t xml:space="preserve">0 – 4,9</w:t>
      </w:r>
      <w:r>
        <w:t xml:space="preserve"> |</w:t>
      </w:r>
    </w:p>
    <w:p>
      <w:pPr>
        <w:spacing w:after="120"/>
        <w:jc w:val="both"/>
      </w:pPr>
      <w:r>
        <w:t xml:space="preserve">| Aprobado | </w:t>
      </w:r>
      <w:r>
        <w:rPr>
          <w:b/>
          <w:bCs/>
        </w:rPr>
        <w:t xml:space="preserve">5,0 – 6,9</w:t>
      </w:r>
      <w:r>
        <w:t xml:space="preserve"> |</w:t>
      </w:r>
    </w:p>
    <w:p>
      <w:pPr>
        <w:spacing w:after="120"/>
        <w:jc w:val="both"/>
      </w:pPr>
      <w:r>
        <w:t xml:space="preserve">| Notable | </w:t>
      </w:r>
      <w:r>
        <w:rPr>
          <w:b/>
          <w:bCs/>
        </w:rPr>
        <w:t xml:space="preserve">7,0 – 8,9</w:t>
      </w:r>
      <w:r>
        <w:t xml:space="preserve"> |</w:t>
      </w:r>
    </w:p>
    <w:p>
      <w:pPr>
        <w:spacing w:after="120"/>
        <w:jc w:val="both"/>
      </w:pPr>
      <w:r>
        <w:t xml:space="preserve">| Sobresaliente | </w:t>
      </w:r>
      <w:r>
        <w:rPr>
          <w:b/>
          <w:bCs/>
        </w:rPr>
        <w:t xml:space="preserve">9,0 – 10</w:t>
      </w:r>
      <w:r>
        <w:t xml:space="preserve"> |</w:t>
      </w:r>
    </w:p>
    <w:p>
      <w:pPr>
        <w:spacing w:after="120"/>
        <w:jc w:val="both"/>
      </w:pPr>
      <w:r>
        <w:t xml:space="preserve">| Umbral para Matrícula de Honor | Calificación </w:t>
      </w:r>
      <w:r>
        <w:rPr>
          <w:b/>
          <w:bCs/>
        </w:rPr>
        <w:t xml:space="preserve">≥ 9,0</w:t>
      </w:r>
      <w:r>
        <w:t xml:space="preserve"> |</w:t>
      </w:r>
    </w:p>
    <w:p>
      <w:pPr>
        <w:spacing w:after="120"/>
        <w:jc w:val="both"/>
      </w:pPr>
      <w:r>
        <w:t xml:space="preserve">| Límite de Matrículas de Honor | </w:t>
      </w:r>
      <w:r>
        <w:rPr>
          <w:b/>
          <w:bCs/>
        </w:rPr>
        <w:t xml:space="preserve">5 %</w:t>
      </w:r>
      <w:r>
        <w:t xml:space="preserve"> de matriculados |</w:t>
      </w:r>
    </w:p>
    <w:p>
      <w:pPr>
        <w:spacing w:after="120"/>
        <w:jc w:val="both"/>
      </w:pPr>
      <w:r>
        <w:t xml:space="preserve">| Excepción del límite | Si hay </w:t>
      </w:r>
      <w:r>
        <w:rPr>
          <w:b/>
          <w:bCs/>
        </w:rPr>
        <w:t xml:space="preserve">menos de 20 matriculados</w:t>
      </w:r>
      <w:r>
        <w:t xml:space="preserve">, se puede conceder </w:t>
      </w:r>
      <w:r>
        <w:rPr>
          <w:b/>
          <w:bCs/>
        </w:rPr>
        <w:t xml:space="preserve">1</w:t>
      </w:r>
      <w:r>
        <w:t xml:space="preserve"> Matrícula de Honor |</w:t>
      </w:r>
    </w:p>
    <w:p>
      <w:pPr>
        <w:spacing w:after="120"/>
        <w:jc w:val="both"/>
      </w:pPr>
      <w:r>
        <w:t xml:space="preserve">| Fórmula nota media | Σ(créditos × calificación) / Σ créditos totales |</w:t>
      </w:r>
    </w:p>
    <w:p>
      <w:pPr>
        <w:pBdr>
          <w:bottom w:val="single" w:color="AAAAAA" w:sz="6" w:space="1"/>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abstractNum w:abstractNumId="3" w15:restartNumberingAfterBreak="0">
    <w:multiLevelType w:val="hybridMultilevel"/>
    <w:lvl w:ilvl="0" w15:tentative="1">
      <w:start w:val="1"/>
      <w:numFmt w:val="decimal"/>
      <w:lvlText w:val="%1."/>
      <w:lvlJc w:val="left"/>
      <w:pPr>
        <w:ind w:left="400" w:hanging="2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2026-08-16T11:48:58.654Z</dcterms:created>
  <dcterms:modified xsi:type="dcterms:W3CDTF">2026-08-16T11:48:58.654Z</dcterms:modified>
</cp:coreProperties>
</file>

<file path=docProps/custom.xml><?xml version="1.0" encoding="utf-8"?>
<Properties xmlns="http://schemas.openxmlformats.org/officeDocument/2006/custom-properties" xmlns:vt="http://schemas.openxmlformats.org/officeDocument/2006/docPropsVTypes"/>
</file>